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07F7" w14:textId="4B4C452C" w:rsidR="003227E3" w:rsidRDefault="001746F4" w:rsidP="00776F3D">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Report on the Evaluation of Ohio’s </w:t>
      </w:r>
      <w:r w:rsidR="00530B2E" w:rsidRPr="00334472">
        <w:rPr>
          <w:rFonts w:ascii="Times New Roman" w:hAnsi="Times New Roman" w:cs="Times New Roman"/>
          <w:b/>
          <w:sz w:val="32"/>
          <w:szCs w:val="32"/>
        </w:rPr>
        <w:t xml:space="preserve">Wage Pathways </w:t>
      </w:r>
      <w:r>
        <w:rPr>
          <w:rFonts w:ascii="Times New Roman" w:hAnsi="Times New Roman" w:cs="Times New Roman"/>
          <w:b/>
          <w:sz w:val="32"/>
          <w:szCs w:val="32"/>
        </w:rPr>
        <w:t>Program</w:t>
      </w:r>
      <w:r w:rsidR="00530B2E" w:rsidRPr="00334472">
        <w:rPr>
          <w:rFonts w:ascii="Times New Roman" w:hAnsi="Times New Roman" w:cs="Times New Roman"/>
          <w:b/>
          <w:sz w:val="32"/>
          <w:szCs w:val="32"/>
        </w:rPr>
        <w:t xml:space="preserve"> </w:t>
      </w:r>
    </w:p>
    <w:p w14:paraId="6C9FC06B" w14:textId="77777777" w:rsidR="00DD53D8" w:rsidRDefault="00DD53D8" w:rsidP="00776F3D">
      <w:pPr>
        <w:spacing w:after="0"/>
        <w:jc w:val="center"/>
        <w:rPr>
          <w:rFonts w:ascii="Times New Roman" w:hAnsi="Times New Roman" w:cs="Times New Roman"/>
          <w:sz w:val="28"/>
          <w:szCs w:val="28"/>
        </w:rPr>
      </w:pPr>
    </w:p>
    <w:p w14:paraId="383D91B5" w14:textId="3928C87A" w:rsidR="00776F3D" w:rsidRPr="00707A49" w:rsidRDefault="00776F3D" w:rsidP="00776F3D">
      <w:pPr>
        <w:spacing w:after="0"/>
        <w:jc w:val="center"/>
        <w:rPr>
          <w:rFonts w:ascii="Times New Roman" w:hAnsi="Times New Roman" w:cs="Times New Roman"/>
          <w:sz w:val="28"/>
          <w:szCs w:val="28"/>
        </w:rPr>
      </w:pPr>
      <w:r w:rsidRPr="00707A49">
        <w:rPr>
          <w:rFonts w:ascii="Times New Roman" w:hAnsi="Times New Roman" w:cs="Times New Roman"/>
          <w:sz w:val="28"/>
          <w:szCs w:val="28"/>
        </w:rPr>
        <w:t xml:space="preserve">Joshua Hawley, </w:t>
      </w:r>
      <w:r w:rsidR="00B443EE">
        <w:rPr>
          <w:rFonts w:ascii="Times New Roman" w:hAnsi="Times New Roman" w:cs="Times New Roman"/>
          <w:sz w:val="28"/>
          <w:szCs w:val="28"/>
        </w:rPr>
        <w:t xml:space="preserve">The </w:t>
      </w:r>
      <w:r w:rsidRPr="00707A49">
        <w:rPr>
          <w:rFonts w:ascii="Times New Roman" w:hAnsi="Times New Roman" w:cs="Times New Roman"/>
          <w:sz w:val="28"/>
          <w:szCs w:val="28"/>
        </w:rPr>
        <w:t>Ohio State University</w:t>
      </w:r>
    </w:p>
    <w:p w14:paraId="2D0B93B6" w14:textId="77777777" w:rsidR="00776F3D" w:rsidRPr="00707A49" w:rsidRDefault="00776F3D" w:rsidP="00776F3D">
      <w:pPr>
        <w:spacing w:after="0"/>
        <w:jc w:val="center"/>
        <w:rPr>
          <w:rFonts w:ascii="Times New Roman" w:hAnsi="Times New Roman" w:cs="Times New Roman"/>
          <w:sz w:val="28"/>
          <w:szCs w:val="28"/>
        </w:rPr>
      </w:pPr>
      <w:r w:rsidRPr="00707A49">
        <w:rPr>
          <w:rFonts w:ascii="Times New Roman" w:hAnsi="Times New Roman" w:cs="Times New Roman"/>
          <w:sz w:val="28"/>
          <w:szCs w:val="28"/>
        </w:rPr>
        <w:t xml:space="preserve">Tian Lou, </w:t>
      </w:r>
      <w:r w:rsidR="00B443EE">
        <w:rPr>
          <w:rFonts w:ascii="Times New Roman" w:hAnsi="Times New Roman" w:cs="Times New Roman"/>
          <w:sz w:val="28"/>
          <w:szCs w:val="28"/>
        </w:rPr>
        <w:t xml:space="preserve">The </w:t>
      </w:r>
      <w:r w:rsidRPr="00707A49">
        <w:rPr>
          <w:rFonts w:ascii="Times New Roman" w:hAnsi="Times New Roman" w:cs="Times New Roman"/>
          <w:sz w:val="28"/>
          <w:szCs w:val="28"/>
        </w:rPr>
        <w:t>Ohio State University</w:t>
      </w:r>
    </w:p>
    <w:p w14:paraId="302E877B" w14:textId="4B1EC4B1" w:rsidR="00776F3D" w:rsidRPr="00707A49" w:rsidRDefault="00776F3D" w:rsidP="00776F3D">
      <w:pPr>
        <w:spacing w:after="0"/>
        <w:jc w:val="center"/>
        <w:rPr>
          <w:rFonts w:ascii="Times New Roman" w:hAnsi="Times New Roman" w:cs="Times New Roman"/>
          <w:sz w:val="28"/>
          <w:szCs w:val="28"/>
        </w:rPr>
      </w:pPr>
      <w:r w:rsidRPr="00707A49">
        <w:rPr>
          <w:rFonts w:ascii="Times New Roman" w:hAnsi="Times New Roman" w:cs="Times New Roman"/>
          <w:sz w:val="28"/>
          <w:szCs w:val="28"/>
        </w:rPr>
        <w:t>Randall Olsen</w:t>
      </w:r>
      <w:r w:rsidR="00AC6265">
        <w:rPr>
          <w:rStyle w:val="FootnoteReference"/>
          <w:rFonts w:ascii="Times New Roman" w:hAnsi="Times New Roman" w:cs="Times New Roman"/>
          <w:sz w:val="28"/>
          <w:szCs w:val="28"/>
        </w:rPr>
        <w:footnoteReference w:id="1"/>
      </w:r>
      <w:r w:rsidRPr="00707A49">
        <w:rPr>
          <w:rFonts w:ascii="Times New Roman" w:hAnsi="Times New Roman" w:cs="Times New Roman"/>
          <w:sz w:val="28"/>
          <w:szCs w:val="28"/>
        </w:rPr>
        <w:t xml:space="preserve">, </w:t>
      </w:r>
      <w:r w:rsidR="00B443EE">
        <w:rPr>
          <w:rFonts w:ascii="Times New Roman" w:hAnsi="Times New Roman" w:cs="Times New Roman"/>
          <w:sz w:val="28"/>
          <w:szCs w:val="28"/>
        </w:rPr>
        <w:t xml:space="preserve">The </w:t>
      </w:r>
      <w:r w:rsidRPr="00707A49">
        <w:rPr>
          <w:rFonts w:ascii="Times New Roman" w:hAnsi="Times New Roman" w:cs="Times New Roman"/>
          <w:sz w:val="28"/>
          <w:szCs w:val="28"/>
        </w:rPr>
        <w:t>Ohio State University</w:t>
      </w:r>
    </w:p>
    <w:p w14:paraId="041055C6" w14:textId="325D64F7" w:rsidR="001746F4" w:rsidRDefault="001746F4" w:rsidP="001746F4">
      <w:pPr>
        <w:spacing w:after="0"/>
        <w:jc w:val="center"/>
        <w:rPr>
          <w:rFonts w:ascii="Times New Roman" w:hAnsi="Times New Roman" w:cs="Times New Roman"/>
          <w:sz w:val="28"/>
          <w:szCs w:val="28"/>
        </w:rPr>
      </w:pPr>
      <w:r w:rsidRPr="00707A49">
        <w:rPr>
          <w:rFonts w:ascii="Times New Roman" w:hAnsi="Times New Roman" w:cs="Times New Roman"/>
          <w:sz w:val="28"/>
          <w:szCs w:val="28"/>
        </w:rPr>
        <w:t>Christopher Spence, New Growth Group</w:t>
      </w:r>
    </w:p>
    <w:p w14:paraId="76E71D7B" w14:textId="2F0776F5" w:rsidR="00DD53D8" w:rsidRDefault="00DD53D8" w:rsidP="001746F4">
      <w:pPr>
        <w:spacing w:after="0"/>
        <w:jc w:val="center"/>
        <w:rPr>
          <w:rFonts w:ascii="Times New Roman" w:hAnsi="Times New Roman" w:cs="Times New Roman"/>
          <w:sz w:val="28"/>
          <w:szCs w:val="28"/>
        </w:rPr>
      </w:pPr>
    </w:p>
    <w:p w14:paraId="182F8717" w14:textId="4130D099" w:rsidR="00DD53D8" w:rsidRDefault="00DD53D8" w:rsidP="00DD53D8">
      <w:pPr>
        <w:jc w:val="both"/>
        <w:rPr>
          <w:rFonts w:ascii="Times New Roman" w:hAnsi="Times New Roman" w:cs="Times New Roman"/>
        </w:rPr>
      </w:pPr>
      <w:r w:rsidRPr="00DD53D8">
        <w:rPr>
          <w:rFonts w:ascii="Times New Roman" w:hAnsi="Times New Roman" w:cs="Times New Roman"/>
        </w:rPr>
        <w:t xml:space="preserve">Direct all correspondence to </w:t>
      </w:r>
      <w:hyperlink r:id="rId8" w:history="1">
        <w:r w:rsidRPr="00DD53D8">
          <w:rPr>
            <w:rFonts w:ascii="Times New Roman" w:hAnsi="Times New Roman" w:cs="Times New Roman"/>
          </w:rPr>
          <w:t>Olsen.6@osu.edu</w:t>
        </w:r>
      </w:hyperlink>
      <w:r w:rsidRPr="00DD53D8">
        <w:rPr>
          <w:rFonts w:ascii="Times New Roman" w:hAnsi="Times New Roman" w:cs="Times New Roman"/>
        </w:rPr>
        <w:t>.  "Report on the Evaluation of Ohio’s Wage Pathways Program" by Randall J. Olsen et al is licensed under CC BY 4.0.  This report was funded with Federal funds under a grant awarded by the U.S. Department of Labor’s Employment and Training Administration. The content of this publications does not necessarily reflect the views or the policies of the U.S. Department of Labor, nor does mention of trade names, commercial products, or organizations imply any endorsement of same by the U.S. Government.</w:t>
      </w:r>
    </w:p>
    <w:p w14:paraId="75334908" w14:textId="7286CC38" w:rsidR="00DD53D8" w:rsidRDefault="00DD53D8" w:rsidP="00DD53D8">
      <w:pPr>
        <w:jc w:val="both"/>
        <w:rPr>
          <w:rFonts w:ascii="Times New Roman" w:hAnsi="Times New Roman" w:cs="Times New Roman"/>
        </w:rPr>
      </w:pPr>
      <w:r>
        <w:rPr>
          <w:rFonts w:ascii="Times New Roman" w:hAnsi="Times New Roman" w:cs="Times New Roman"/>
        </w:rPr>
        <w:t>We thank the staff at ODJFS for their advice, guidance, unstinting cooperation and hard work in making a great deal of administrative data available to the evaluation.  We have no doubt that without the data they provided, the statistical power of the analysis would not be sufficient to detect the program’s impact.</w:t>
      </w:r>
    </w:p>
    <w:p w14:paraId="4DFF90AE" w14:textId="79C22CBB" w:rsidR="00F643DB" w:rsidRDefault="00F643DB" w:rsidP="00F643DB">
      <w:pPr>
        <w:jc w:val="both"/>
      </w:pPr>
      <w:r w:rsidRPr="00F643DB">
        <w:rPr>
          <w:rFonts w:ascii="Times New Roman" w:hAnsi="Times New Roman" w:cs="Times New Roman"/>
        </w:rPr>
        <w:t xml:space="preserve">The Ohio Longitudinal Data Archive is a project of the Ohio Education Research Center (oerc.osu.edu) and provides researchers with centralized access to administrative data. The OLDA is managed by The Ohio State University's CHRR (chrr.osu.edu) in collaboration with Ohio's state workforce and education agencies (ohioanalytics.gov), with those agencies providing oversight and funding. For information on OLDA sponsors, see </w:t>
      </w:r>
      <w:r w:rsidR="006A3342" w:rsidRPr="00230AF1">
        <w:rPr>
          <w:rFonts w:ascii="Times New Roman" w:hAnsi="Times New Roman" w:cs="Times New Roman"/>
        </w:rPr>
        <w:t>http://chrr.osu.edu</w:t>
      </w:r>
      <w:r w:rsidR="00B761CB" w:rsidRPr="00230AF1">
        <w:rPr>
          <w:rFonts w:ascii="Times New Roman" w:hAnsi="Times New Roman" w:cs="Times New Roman"/>
        </w:rPr>
        <w:t xml:space="preserve"> </w:t>
      </w:r>
      <w:r w:rsidRPr="00230AF1">
        <w:rPr>
          <w:rFonts w:ascii="Times New Roman" w:hAnsi="Times New Roman" w:cs="Times New Roman"/>
        </w:rPr>
        <w:t>.</w:t>
      </w:r>
    </w:p>
    <w:p w14:paraId="38556845" w14:textId="77777777" w:rsidR="00F643DB" w:rsidRPr="0061283B" w:rsidRDefault="00F643DB" w:rsidP="00DD53D8">
      <w:pPr>
        <w:jc w:val="both"/>
        <w:rPr>
          <w:rFonts w:ascii="Times New Roman" w:hAnsi="Times New Roman" w:cs="Times New Roman"/>
        </w:rPr>
      </w:pPr>
    </w:p>
    <w:p w14:paraId="2A754FDF" w14:textId="65523243" w:rsidR="00DD53D8" w:rsidRDefault="00DD53D8">
      <w:pPr>
        <w:rPr>
          <w:rFonts w:ascii="Times New Roman" w:hAnsi="Times New Roman" w:cs="Times New Roman"/>
        </w:rPr>
      </w:pPr>
      <w:r>
        <w:rPr>
          <w:rFonts w:ascii="Times New Roman" w:hAnsi="Times New Roman" w:cs="Times New Roman"/>
        </w:rPr>
        <w:br w:type="page"/>
      </w:r>
    </w:p>
    <w:sdt>
      <w:sdtPr>
        <w:rPr>
          <w:rFonts w:asciiTheme="minorHAnsi" w:eastAsiaTheme="minorEastAsia" w:hAnsiTheme="minorHAnsi" w:cstheme="minorBidi"/>
          <w:color w:val="auto"/>
          <w:sz w:val="22"/>
          <w:szCs w:val="22"/>
        </w:rPr>
        <w:id w:val="1572936333"/>
        <w:docPartObj>
          <w:docPartGallery w:val="Table of Contents"/>
          <w:docPartUnique/>
        </w:docPartObj>
      </w:sdtPr>
      <w:sdtEndPr>
        <w:rPr>
          <w:b/>
          <w:bCs/>
          <w:noProof/>
        </w:rPr>
      </w:sdtEndPr>
      <w:sdtContent>
        <w:p w14:paraId="2E506BB7" w14:textId="3D1377A1" w:rsidR="00DD53D8" w:rsidRPr="00634A31" w:rsidRDefault="00DD53D8" w:rsidP="00634A31">
          <w:pPr>
            <w:pStyle w:val="TOCHeading"/>
            <w:jc w:val="center"/>
            <w:rPr>
              <w:rFonts w:ascii="Times New Roman" w:hAnsi="Times New Roman" w:cs="Times New Roman"/>
            </w:rPr>
          </w:pPr>
          <w:r w:rsidRPr="00634A31">
            <w:rPr>
              <w:rFonts w:ascii="Times New Roman" w:hAnsi="Times New Roman" w:cs="Times New Roman"/>
            </w:rPr>
            <w:t>Table of Contents</w:t>
          </w:r>
        </w:p>
        <w:p w14:paraId="5B1D3799" w14:textId="17708396" w:rsidR="005700B7" w:rsidRDefault="00DD53D8">
          <w:pPr>
            <w:pStyle w:val="TOC1"/>
            <w:tabs>
              <w:tab w:val="right" w:leader="dot" w:pos="9350"/>
            </w:tabs>
            <w:rPr>
              <w:noProof/>
            </w:rPr>
          </w:pPr>
          <w:r>
            <w:fldChar w:fldCharType="begin"/>
          </w:r>
          <w:r>
            <w:instrText xml:space="preserve"> TOC \o "1-3" \h \z \u </w:instrText>
          </w:r>
          <w:r>
            <w:fldChar w:fldCharType="separate"/>
          </w:r>
          <w:hyperlink w:anchor="_Toc20468454" w:history="1">
            <w:r w:rsidR="005700B7" w:rsidRPr="00160BCA">
              <w:rPr>
                <w:rStyle w:val="Hyperlink"/>
                <w:rFonts w:ascii="Times New Roman" w:hAnsi="Times New Roman" w:cs="Times New Roman"/>
                <w:noProof/>
              </w:rPr>
              <w:t>Executive Summary</w:t>
            </w:r>
            <w:r w:rsidR="005700B7">
              <w:rPr>
                <w:noProof/>
                <w:webHidden/>
              </w:rPr>
              <w:tab/>
            </w:r>
            <w:r w:rsidR="005700B7">
              <w:rPr>
                <w:noProof/>
                <w:webHidden/>
              </w:rPr>
              <w:fldChar w:fldCharType="begin"/>
            </w:r>
            <w:r w:rsidR="005700B7">
              <w:rPr>
                <w:noProof/>
                <w:webHidden/>
              </w:rPr>
              <w:instrText xml:space="preserve"> PAGEREF _Toc20468454 \h </w:instrText>
            </w:r>
            <w:r w:rsidR="005700B7">
              <w:rPr>
                <w:noProof/>
                <w:webHidden/>
              </w:rPr>
            </w:r>
            <w:r w:rsidR="005700B7">
              <w:rPr>
                <w:noProof/>
                <w:webHidden/>
              </w:rPr>
              <w:fldChar w:fldCharType="separate"/>
            </w:r>
            <w:r w:rsidR="00F76766">
              <w:rPr>
                <w:noProof/>
                <w:webHidden/>
              </w:rPr>
              <w:t>3</w:t>
            </w:r>
            <w:r w:rsidR="005700B7">
              <w:rPr>
                <w:noProof/>
                <w:webHidden/>
              </w:rPr>
              <w:fldChar w:fldCharType="end"/>
            </w:r>
          </w:hyperlink>
        </w:p>
        <w:p w14:paraId="0AEAD8AE" w14:textId="397FE317" w:rsidR="005700B7" w:rsidRDefault="00000000">
          <w:pPr>
            <w:pStyle w:val="TOC1"/>
            <w:tabs>
              <w:tab w:val="right" w:leader="dot" w:pos="9350"/>
            </w:tabs>
            <w:rPr>
              <w:noProof/>
            </w:rPr>
          </w:pPr>
          <w:hyperlink w:anchor="_Toc20468455" w:history="1">
            <w:r w:rsidR="005700B7" w:rsidRPr="00160BCA">
              <w:rPr>
                <w:rStyle w:val="Hyperlink"/>
                <w:rFonts w:ascii="Times New Roman" w:hAnsi="Times New Roman" w:cs="Times New Roman"/>
                <w:noProof/>
              </w:rPr>
              <w:t>Introduction</w:t>
            </w:r>
            <w:r w:rsidR="005700B7">
              <w:rPr>
                <w:noProof/>
                <w:webHidden/>
              </w:rPr>
              <w:tab/>
            </w:r>
            <w:r w:rsidR="005700B7">
              <w:rPr>
                <w:noProof/>
                <w:webHidden/>
              </w:rPr>
              <w:fldChar w:fldCharType="begin"/>
            </w:r>
            <w:r w:rsidR="005700B7">
              <w:rPr>
                <w:noProof/>
                <w:webHidden/>
              </w:rPr>
              <w:instrText xml:space="preserve"> PAGEREF _Toc20468455 \h </w:instrText>
            </w:r>
            <w:r w:rsidR="005700B7">
              <w:rPr>
                <w:noProof/>
                <w:webHidden/>
              </w:rPr>
            </w:r>
            <w:r w:rsidR="005700B7">
              <w:rPr>
                <w:noProof/>
                <w:webHidden/>
              </w:rPr>
              <w:fldChar w:fldCharType="separate"/>
            </w:r>
            <w:r w:rsidR="00F76766">
              <w:rPr>
                <w:noProof/>
                <w:webHidden/>
              </w:rPr>
              <w:t>4</w:t>
            </w:r>
            <w:r w:rsidR="005700B7">
              <w:rPr>
                <w:noProof/>
                <w:webHidden/>
              </w:rPr>
              <w:fldChar w:fldCharType="end"/>
            </w:r>
          </w:hyperlink>
        </w:p>
        <w:p w14:paraId="6E874B7F" w14:textId="475C7171" w:rsidR="005700B7" w:rsidRDefault="00000000">
          <w:pPr>
            <w:pStyle w:val="TOC1"/>
            <w:tabs>
              <w:tab w:val="right" w:leader="dot" w:pos="9350"/>
            </w:tabs>
            <w:rPr>
              <w:noProof/>
            </w:rPr>
          </w:pPr>
          <w:hyperlink w:anchor="_Toc20468456" w:history="1">
            <w:r w:rsidR="005700B7" w:rsidRPr="00160BCA">
              <w:rPr>
                <w:rStyle w:val="Hyperlink"/>
                <w:rFonts w:ascii="Times New Roman" w:hAnsi="Times New Roman" w:cs="Times New Roman"/>
                <w:noProof/>
              </w:rPr>
              <w:t>Project Description</w:t>
            </w:r>
            <w:r w:rsidR="005700B7">
              <w:rPr>
                <w:noProof/>
                <w:webHidden/>
              </w:rPr>
              <w:tab/>
            </w:r>
            <w:r w:rsidR="005700B7">
              <w:rPr>
                <w:noProof/>
                <w:webHidden/>
              </w:rPr>
              <w:fldChar w:fldCharType="begin"/>
            </w:r>
            <w:r w:rsidR="005700B7">
              <w:rPr>
                <w:noProof/>
                <w:webHidden/>
              </w:rPr>
              <w:instrText xml:space="preserve"> PAGEREF _Toc20468456 \h </w:instrText>
            </w:r>
            <w:r w:rsidR="005700B7">
              <w:rPr>
                <w:noProof/>
                <w:webHidden/>
              </w:rPr>
            </w:r>
            <w:r w:rsidR="005700B7">
              <w:rPr>
                <w:noProof/>
                <w:webHidden/>
              </w:rPr>
              <w:fldChar w:fldCharType="separate"/>
            </w:r>
            <w:r w:rsidR="00F76766">
              <w:rPr>
                <w:noProof/>
                <w:webHidden/>
              </w:rPr>
              <w:t>4</w:t>
            </w:r>
            <w:r w:rsidR="005700B7">
              <w:rPr>
                <w:noProof/>
                <w:webHidden/>
              </w:rPr>
              <w:fldChar w:fldCharType="end"/>
            </w:r>
          </w:hyperlink>
        </w:p>
        <w:p w14:paraId="5768417E" w14:textId="75876AF2" w:rsidR="005700B7" w:rsidRDefault="00000000">
          <w:pPr>
            <w:pStyle w:val="TOC2"/>
            <w:tabs>
              <w:tab w:val="right" w:leader="dot" w:pos="9350"/>
            </w:tabs>
            <w:rPr>
              <w:noProof/>
            </w:rPr>
          </w:pPr>
          <w:hyperlink w:anchor="_Toc20468457" w:history="1">
            <w:r w:rsidR="005700B7" w:rsidRPr="00160BCA">
              <w:rPr>
                <w:rStyle w:val="Hyperlink"/>
                <w:rFonts w:ascii="Times New Roman" w:hAnsi="Times New Roman" w:cs="Times New Roman"/>
                <w:noProof/>
              </w:rPr>
              <w:t>The Wage Pathways Intervention</w:t>
            </w:r>
            <w:r w:rsidR="005700B7">
              <w:rPr>
                <w:noProof/>
                <w:webHidden/>
              </w:rPr>
              <w:tab/>
            </w:r>
            <w:r w:rsidR="005700B7">
              <w:rPr>
                <w:noProof/>
                <w:webHidden/>
              </w:rPr>
              <w:fldChar w:fldCharType="begin"/>
            </w:r>
            <w:r w:rsidR="005700B7">
              <w:rPr>
                <w:noProof/>
                <w:webHidden/>
              </w:rPr>
              <w:instrText xml:space="preserve"> PAGEREF _Toc20468457 \h </w:instrText>
            </w:r>
            <w:r w:rsidR="005700B7">
              <w:rPr>
                <w:noProof/>
                <w:webHidden/>
              </w:rPr>
            </w:r>
            <w:r w:rsidR="005700B7">
              <w:rPr>
                <w:noProof/>
                <w:webHidden/>
              </w:rPr>
              <w:fldChar w:fldCharType="separate"/>
            </w:r>
            <w:r w:rsidR="00F76766">
              <w:rPr>
                <w:noProof/>
                <w:webHidden/>
              </w:rPr>
              <w:t>4</w:t>
            </w:r>
            <w:r w:rsidR="005700B7">
              <w:rPr>
                <w:noProof/>
                <w:webHidden/>
              </w:rPr>
              <w:fldChar w:fldCharType="end"/>
            </w:r>
          </w:hyperlink>
        </w:p>
        <w:p w14:paraId="55A57070" w14:textId="238EF40B" w:rsidR="005700B7" w:rsidRDefault="00000000">
          <w:pPr>
            <w:pStyle w:val="TOC2"/>
            <w:tabs>
              <w:tab w:val="right" w:leader="dot" w:pos="9350"/>
            </w:tabs>
            <w:rPr>
              <w:noProof/>
            </w:rPr>
          </w:pPr>
          <w:hyperlink w:anchor="_Toc20468458" w:history="1">
            <w:r w:rsidR="005700B7" w:rsidRPr="00160BCA">
              <w:rPr>
                <w:rStyle w:val="Hyperlink"/>
                <w:rFonts w:ascii="Times New Roman" w:hAnsi="Times New Roman" w:cs="Times New Roman"/>
                <w:noProof/>
              </w:rPr>
              <w:t>Comprehensive Case Management and Employment Program (CCMEP)</w:t>
            </w:r>
            <w:r w:rsidR="005700B7">
              <w:rPr>
                <w:noProof/>
                <w:webHidden/>
              </w:rPr>
              <w:tab/>
            </w:r>
            <w:r w:rsidR="005700B7">
              <w:rPr>
                <w:noProof/>
                <w:webHidden/>
              </w:rPr>
              <w:fldChar w:fldCharType="begin"/>
            </w:r>
            <w:r w:rsidR="005700B7">
              <w:rPr>
                <w:noProof/>
                <w:webHidden/>
              </w:rPr>
              <w:instrText xml:space="preserve"> PAGEREF _Toc20468458 \h </w:instrText>
            </w:r>
            <w:r w:rsidR="005700B7">
              <w:rPr>
                <w:noProof/>
                <w:webHidden/>
              </w:rPr>
            </w:r>
            <w:r w:rsidR="005700B7">
              <w:rPr>
                <w:noProof/>
                <w:webHidden/>
              </w:rPr>
              <w:fldChar w:fldCharType="separate"/>
            </w:r>
            <w:r w:rsidR="00F76766">
              <w:rPr>
                <w:noProof/>
                <w:webHidden/>
              </w:rPr>
              <w:t>4</w:t>
            </w:r>
            <w:r w:rsidR="005700B7">
              <w:rPr>
                <w:noProof/>
                <w:webHidden/>
              </w:rPr>
              <w:fldChar w:fldCharType="end"/>
            </w:r>
          </w:hyperlink>
        </w:p>
        <w:p w14:paraId="46D76795" w14:textId="1400A4B5" w:rsidR="005700B7" w:rsidRDefault="00000000">
          <w:pPr>
            <w:pStyle w:val="TOC2"/>
            <w:tabs>
              <w:tab w:val="right" w:leader="dot" w:pos="9350"/>
            </w:tabs>
            <w:rPr>
              <w:noProof/>
            </w:rPr>
          </w:pPr>
          <w:hyperlink w:anchor="_Toc20468459" w:history="1">
            <w:r w:rsidR="005700B7" w:rsidRPr="00160BCA">
              <w:rPr>
                <w:rStyle w:val="Hyperlink"/>
                <w:rFonts w:ascii="Times New Roman" w:hAnsi="Times New Roman" w:cs="Times New Roman"/>
                <w:noProof/>
              </w:rPr>
              <w:t>Wage Pathways Program Outline</w:t>
            </w:r>
            <w:r w:rsidR="005700B7">
              <w:rPr>
                <w:noProof/>
                <w:webHidden/>
              </w:rPr>
              <w:tab/>
            </w:r>
            <w:r w:rsidR="005700B7">
              <w:rPr>
                <w:noProof/>
                <w:webHidden/>
              </w:rPr>
              <w:fldChar w:fldCharType="begin"/>
            </w:r>
            <w:r w:rsidR="005700B7">
              <w:rPr>
                <w:noProof/>
                <w:webHidden/>
              </w:rPr>
              <w:instrText xml:space="preserve"> PAGEREF _Toc20468459 \h </w:instrText>
            </w:r>
            <w:r w:rsidR="005700B7">
              <w:rPr>
                <w:noProof/>
                <w:webHidden/>
              </w:rPr>
            </w:r>
            <w:r w:rsidR="005700B7">
              <w:rPr>
                <w:noProof/>
                <w:webHidden/>
              </w:rPr>
              <w:fldChar w:fldCharType="separate"/>
            </w:r>
            <w:r w:rsidR="00F76766">
              <w:rPr>
                <w:noProof/>
                <w:webHidden/>
              </w:rPr>
              <w:t>6</w:t>
            </w:r>
            <w:r w:rsidR="005700B7">
              <w:rPr>
                <w:noProof/>
                <w:webHidden/>
              </w:rPr>
              <w:fldChar w:fldCharType="end"/>
            </w:r>
          </w:hyperlink>
        </w:p>
        <w:p w14:paraId="50AD9260" w14:textId="6C1DAC79" w:rsidR="005700B7" w:rsidRDefault="00000000">
          <w:pPr>
            <w:pStyle w:val="TOC3"/>
            <w:tabs>
              <w:tab w:val="right" w:leader="dot" w:pos="9350"/>
            </w:tabs>
            <w:rPr>
              <w:noProof/>
            </w:rPr>
          </w:pPr>
          <w:hyperlink w:anchor="_Toc20468460" w:history="1">
            <w:r w:rsidR="005700B7" w:rsidRPr="00160BCA">
              <w:rPr>
                <w:rStyle w:val="Hyperlink"/>
                <w:rFonts w:ascii="Times New Roman" w:hAnsi="Times New Roman" w:cs="Times New Roman"/>
                <w:noProof/>
              </w:rPr>
              <w:t>Description of Cash Incentives</w:t>
            </w:r>
            <w:r w:rsidR="005700B7">
              <w:rPr>
                <w:noProof/>
                <w:webHidden/>
              </w:rPr>
              <w:tab/>
            </w:r>
            <w:r w:rsidR="005700B7">
              <w:rPr>
                <w:noProof/>
                <w:webHidden/>
              </w:rPr>
              <w:fldChar w:fldCharType="begin"/>
            </w:r>
            <w:r w:rsidR="005700B7">
              <w:rPr>
                <w:noProof/>
                <w:webHidden/>
              </w:rPr>
              <w:instrText xml:space="preserve"> PAGEREF _Toc20468460 \h </w:instrText>
            </w:r>
            <w:r w:rsidR="005700B7">
              <w:rPr>
                <w:noProof/>
                <w:webHidden/>
              </w:rPr>
            </w:r>
            <w:r w:rsidR="005700B7">
              <w:rPr>
                <w:noProof/>
                <w:webHidden/>
              </w:rPr>
              <w:fldChar w:fldCharType="separate"/>
            </w:r>
            <w:r w:rsidR="00F76766">
              <w:rPr>
                <w:noProof/>
                <w:webHidden/>
              </w:rPr>
              <w:t>7</w:t>
            </w:r>
            <w:r w:rsidR="005700B7">
              <w:rPr>
                <w:noProof/>
                <w:webHidden/>
              </w:rPr>
              <w:fldChar w:fldCharType="end"/>
            </w:r>
          </w:hyperlink>
        </w:p>
        <w:p w14:paraId="2DD53F26" w14:textId="31B6B3AA" w:rsidR="005700B7" w:rsidRDefault="00000000">
          <w:pPr>
            <w:pStyle w:val="TOC3"/>
            <w:tabs>
              <w:tab w:val="right" w:leader="dot" w:pos="9350"/>
            </w:tabs>
            <w:rPr>
              <w:noProof/>
            </w:rPr>
          </w:pPr>
          <w:hyperlink w:anchor="_Toc20468461" w:history="1">
            <w:r w:rsidR="005700B7" w:rsidRPr="00160BCA">
              <w:rPr>
                <w:rStyle w:val="Hyperlink"/>
                <w:rFonts w:ascii="Times New Roman" w:hAnsi="Times New Roman" w:cs="Times New Roman"/>
                <w:noProof/>
              </w:rPr>
              <w:t>The Timing of Program Launch</w:t>
            </w:r>
            <w:r w:rsidR="005700B7">
              <w:rPr>
                <w:noProof/>
                <w:webHidden/>
              </w:rPr>
              <w:tab/>
            </w:r>
            <w:r w:rsidR="005700B7">
              <w:rPr>
                <w:noProof/>
                <w:webHidden/>
              </w:rPr>
              <w:fldChar w:fldCharType="begin"/>
            </w:r>
            <w:r w:rsidR="005700B7">
              <w:rPr>
                <w:noProof/>
                <w:webHidden/>
              </w:rPr>
              <w:instrText xml:space="preserve"> PAGEREF _Toc20468461 \h </w:instrText>
            </w:r>
            <w:r w:rsidR="005700B7">
              <w:rPr>
                <w:noProof/>
                <w:webHidden/>
              </w:rPr>
            </w:r>
            <w:r w:rsidR="005700B7">
              <w:rPr>
                <w:noProof/>
                <w:webHidden/>
              </w:rPr>
              <w:fldChar w:fldCharType="separate"/>
            </w:r>
            <w:r w:rsidR="00F76766">
              <w:rPr>
                <w:noProof/>
                <w:webHidden/>
              </w:rPr>
              <w:t>7</w:t>
            </w:r>
            <w:r w:rsidR="005700B7">
              <w:rPr>
                <w:noProof/>
                <w:webHidden/>
              </w:rPr>
              <w:fldChar w:fldCharType="end"/>
            </w:r>
          </w:hyperlink>
        </w:p>
        <w:p w14:paraId="68E45936" w14:textId="1BE80034" w:rsidR="005700B7" w:rsidRDefault="00000000">
          <w:pPr>
            <w:pStyle w:val="TOC1"/>
            <w:tabs>
              <w:tab w:val="right" w:leader="dot" w:pos="9350"/>
            </w:tabs>
            <w:rPr>
              <w:noProof/>
            </w:rPr>
          </w:pPr>
          <w:hyperlink w:anchor="_Toc20468462" w:history="1">
            <w:r w:rsidR="005700B7" w:rsidRPr="00160BCA">
              <w:rPr>
                <w:rStyle w:val="Hyperlink"/>
                <w:rFonts w:ascii="Times New Roman" w:hAnsi="Times New Roman" w:cs="Times New Roman"/>
                <w:noProof/>
              </w:rPr>
              <w:t>Evaluation of the Wage Pathways Program Implementation</w:t>
            </w:r>
            <w:r w:rsidR="005700B7">
              <w:rPr>
                <w:noProof/>
                <w:webHidden/>
              </w:rPr>
              <w:tab/>
            </w:r>
            <w:r w:rsidR="005700B7">
              <w:rPr>
                <w:noProof/>
                <w:webHidden/>
              </w:rPr>
              <w:fldChar w:fldCharType="begin"/>
            </w:r>
            <w:r w:rsidR="005700B7">
              <w:rPr>
                <w:noProof/>
                <w:webHidden/>
              </w:rPr>
              <w:instrText xml:space="preserve"> PAGEREF _Toc20468462 \h </w:instrText>
            </w:r>
            <w:r w:rsidR="005700B7">
              <w:rPr>
                <w:noProof/>
                <w:webHidden/>
              </w:rPr>
            </w:r>
            <w:r w:rsidR="005700B7">
              <w:rPr>
                <w:noProof/>
                <w:webHidden/>
              </w:rPr>
              <w:fldChar w:fldCharType="separate"/>
            </w:r>
            <w:r w:rsidR="00F76766">
              <w:rPr>
                <w:noProof/>
                <w:webHidden/>
              </w:rPr>
              <w:t>8</w:t>
            </w:r>
            <w:r w:rsidR="005700B7">
              <w:rPr>
                <w:noProof/>
                <w:webHidden/>
              </w:rPr>
              <w:fldChar w:fldCharType="end"/>
            </w:r>
          </w:hyperlink>
        </w:p>
        <w:p w14:paraId="1B3F669A" w14:textId="2D4ECEFC" w:rsidR="005700B7" w:rsidRDefault="00000000">
          <w:pPr>
            <w:pStyle w:val="TOC2"/>
            <w:tabs>
              <w:tab w:val="right" w:leader="dot" w:pos="9350"/>
            </w:tabs>
            <w:rPr>
              <w:noProof/>
            </w:rPr>
          </w:pPr>
          <w:hyperlink w:anchor="_Toc20468463" w:history="1">
            <w:r w:rsidR="005700B7" w:rsidRPr="00160BCA">
              <w:rPr>
                <w:rStyle w:val="Hyperlink"/>
                <w:rFonts w:ascii="Times New Roman" w:hAnsi="Times New Roman" w:cs="Times New Roman"/>
                <w:noProof/>
              </w:rPr>
              <w:t>Overview of the Implementation Evaluation</w:t>
            </w:r>
            <w:r w:rsidR="005700B7">
              <w:rPr>
                <w:noProof/>
                <w:webHidden/>
              </w:rPr>
              <w:tab/>
            </w:r>
            <w:r w:rsidR="005700B7">
              <w:rPr>
                <w:noProof/>
                <w:webHidden/>
              </w:rPr>
              <w:fldChar w:fldCharType="begin"/>
            </w:r>
            <w:r w:rsidR="005700B7">
              <w:rPr>
                <w:noProof/>
                <w:webHidden/>
              </w:rPr>
              <w:instrText xml:space="preserve"> PAGEREF _Toc20468463 \h </w:instrText>
            </w:r>
            <w:r w:rsidR="005700B7">
              <w:rPr>
                <w:noProof/>
                <w:webHidden/>
              </w:rPr>
            </w:r>
            <w:r w:rsidR="005700B7">
              <w:rPr>
                <w:noProof/>
                <w:webHidden/>
              </w:rPr>
              <w:fldChar w:fldCharType="separate"/>
            </w:r>
            <w:r w:rsidR="00F76766">
              <w:rPr>
                <w:noProof/>
                <w:webHidden/>
              </w:rPr>
              <w:t>8</w:t>
            </w:r>
            <w:r w:rsidR="005700B7">
              <w:rPr>
                <w:noProof/>
                <w:webHidden/>
              </w:rPr>
              <w:fldChar w:fldCharType="end"/>
            </w:r>
          </w:hyperlink>
        </w:p>
        <w:p w14:paraId="6A4FF0B1" w14:textId="7280519C" w:rsidR="005700B7" w:rsidRDefault="00000000">
          <w:pPr>
            <w:pStyle w:val="TOC2"/>
            <w:tabs>
              <w:tab w:val="right" w:leader="dot" w:pos="9350"/>
            </w:tabs>
            <w:rPr>
              <w:noProof/>
            </w:rPr>
          </w:pPr>
          <w:hyperlink w:anchor="_Toc20468464" w:history="1">
            <w:r w:rsidR="005700B7" w:rsidRPr="00160BCA">
              <w:rPr>
                <w:rStyle w:val="Hyperlink"/>
                <w:rFonts w:ascii="Times New Roman" w:hAnsi="Times New Roman" w:cs="Times New Roman"/>
                <w:noProof/>
              </w:rPr>
              <w:t>Selection of Participants</w:t>
            </w:r>
            <w:r w:rsidR="005700B7">
              <w:rPr>
                <w:noProof/>
                <w:webHidden/>
              </w:rPr>
              <w:tab/>
            </w:r>
            <w:r w:rsidR="005700B7">
              <w:rPr>
                <w:noProof/>
                <w:webHidden/>
              </w:rPr>
              <w:fldChar w:fldCharType="begin"/>
            </w:r>
            <w:r w:rsidR="005700B7">
              <w:rPr>
                <w:noProof/>
                <w:webHidden/>
              </w:rPr>
              <w:instrText xml:space="preserve"> PAGEREF _Toc20468464 \h </w:instrText>
            </w:r>
            <w:r w:rsidR="005700B7">
              <w:rPr>
                <w:noProof/>
                <w:webHidden/>
              </w:rPr>
            </w:r>
            <w:r w:rsidR="005700B7">
              <w:rPr>
                <w:noProof/>
                <w:webHidden/>
              </w:rPr>
              <w:fldChar w:fldCharType="separate"/>
            </w:r>
            <w:r w:rsidR="00F76766">
              <w:rPr>
                <w:noProof/>
                <w:webHidden/>
              </w:rPr>
              <w:t>9</w:t>
            </w:r>
            <w:r w:rsidR="005700B7">
              <w:rPr>
                <w:noProof/>
                <w:webHidden/>
              </w:rPr>
              <w:fldChar w:fldCharType="end"/>
            </w:r>
          </w:hyperlink>
        </w:p>
        <w:p w14:paraId="17D1B2D6" w14:textId="6C15A005" w:rsidR="005700B7" w:rsidRDefault="00000000">
          <w:pPr>
            <w:pStyle w:val="TOC2"/>
            <w:tabs>
              <w:tab w:val="right" w:leader="dot" w:pos="9350"/>
            </w:tabs>
            <w:rPr>
              <w:noProof/>
            </w:rPr>
          </w:pPr>
          <w:hyperlink w:anchor="_Toc20468465" w:history="1">
            <w:r w:rsidR="005700B7" w:rsidRPr="00160BCA">
              <w:rPr>
                <w:rStyle w:val="Hyperlink"/>
                <w:rFonts w:ascii="Times New Roman" w:hAnsi="Times New Roman" w:cs="Times New Roman"/>
                <w:noProof/>
              </w:rPr>
              <w:t>Integrating Wage Pathways with Other Workforce Development Programs and Services</w:t>
            </w:r>
            <w:r w:rsidR="005700B7">
              <w:rPr>
                <w:noProof/>
                <w:webHidden/>
              </w:rPr>
              <w:tab/>
            </w:r>
            <w:r w:rsidR="005700B7">
              <w:rPr>
                <w:noProof/>
                <w:webHidden/>
              </w:rPr>
              <w:fldChar w:fldCharType="begin"/>
            </w:r>
            <w:r w:rsidR="005700B7">
              <w:rPr>
                <w:noProof/>
                <w:webHidden/>
              </w:rPr>
              <w:instrText xml:space="preserve"> PAGEREF _Toc20468465 \h </w:instrText>
            </w:r>
            <w:r w:rsidR="005700B7">
              <w:rPr>
                <w:noProof/>
                <w:webHidden/>
              </w:rPr>
            </w:r>
            <w:r w:rsidR="005700B7">
              <w:rPr>
                <w:noProof/>
                <w:webHidden/>
              </w:rPr>
              <w:fldChar w:fldCharType="separate"/>
            </w:r>
            <w:r w:rsidR="00F76766">
              <w:rPr>
                <w:noProof/>
                <w:webHidden/>
              </w:rPr>
              <w:t>10</w:t>
            </w:r>
            <w:r w:rsidR="005700B7">
              <w:rPr>
                <w:noProof/>
                <w:webHidden/>
              </w:rPr>
              <w:fldChar w:fldCharType="end"/>
            </w:r>
          </w:hyperlink>
        </w:p>
        <w:p w14:paraId="62C66ADF" w14:textId="28854CBE" w:rsidR="005700B7" w:rsidRDefault="00000000">
          <w:pPr>
            <w:pStyle w:val="TOC2"/>
            <w:tabs>
              <w:tab w:val="right" w:leader="dot" w:pos="9350"/>
            </w:tabs>
            <w:rPr>
              <w:noProof/>
            </w:rPr>
          </w:pPr>
          <w:hyperlink w:anchor="_Toc20468466" w:history="1">
            <w:r w:rsidR="005700B7" w:rsidRPr="00160BCA">
              <w:rPr>
                <w:rStyle w:val="Hyperlink"/>
                <w:rFonts w:ascii="Times New Roman" w:hAnsi="Times New Roman" w:cs="Times New Roman"/>
                <w:noProof/>
              </w:rPr>
              <w:t>Post-Placement Participant Engagement</w:t>
            </w:r>
            <w:r w:rsidR="005700B7">
              <w:rPr>
                <w:noProof/>
                <w:webHidden/>
              </w:rPr>
              <w:tab/>
            </w:r>
            <w:r w:rsidR="005700B7">
              <w:rPr>
                <w:noProof/>
                <w:webHidden/>
              </w:rPr>
              <w:fldChar w:fldCharType="begin"/>
            </w:r>
            <w:r w:rsidR="005700B7">
              <w:rPr>
                <w:noProof/>
                <w:webHidden/>
              </w:rPr>
              <w:instrText xml:space="preserve"> PAGEREF _Toc20468466 \h </w:instrText>
            </w:r>
            <w:r w:rsidR="005700B7">
              <w:rPr>
                <w:noProof/>
                <w:webHidden/>
              </w:rPr>
            </w:r>
            <w:r w:rsidR="005700B7">
              <w:rPr>
                <w:noProof/>
                <w:webHidden/>
              </w:rPr>
              <w:fldChar w:fldCharType="separate"/>
            </w:r>
            <w:r w:rsidR="00F76766">
              <w:rPr>
                <w:noProof/>
                <w:webHidden/>
              </w:rPr>
              <w:t>11</w:t>
            </w:r>
            <w:r w:rsidR="005700B7">
              <w:rPr>
                <w:noProof/>
                <w:webHidden/>
              </w:rPr>
              <w:fldChar w:fldCharType="end"/>
            </w:r>
          </w:hyperlink>
        </w:p>
        <w:p w14:paraId="70FED084" w14:textId="05EE2AD2" w:rsidR="005700B7" w:rsidRDefault="00000000">
          <w:pPr>
            <w:pStyle w:val="TOC2"/>
            <w:tabs>
              <w:tab w:val="right" w:leader="dot" w:pos="9350"/>
            </w:tabs>
            <w:rPr>
              <w:noProof/>
            </w:rPr>
          </w:pPr>
          <w:hyperlink w:anchor="_Toc20468467" w:history="1">
            <w:r w:rsidR="005700B7" w:rsidRPr="00160BCA">
              <w:rPr>
                <w:rStyle w:val="Hyperlink"/>
                <w:rFonts w:ascii="Times New Roman" w:hAnsi="Times New Roman" w:cs="Times New Roman"/>
                <w:noProof/>
              </w:rPr>
              <w:t>Effectiveness of Incentives</w:t>
            </w:r>
            <w:r w:rsidR="005700B7">
              <w:rPr>
                <w:noProof/>
                <w:webHidden/>
              </w:rPr>
              <w:tab/>
            </w:r>
            <w:r w:rsidR="005700B7">
              <w:rPr>
                <w:noProof/>
                <w:webHidden/>
              </w:rPr>
              <w:fldChar w:fldCharType="begin"/>
            </w:r>
            <w:r w:rsidR="005700B7">
              <w:rPr>
                <w:noProof/>
                <w:webHidden/>
              </w:rPr>
              <w:instrText xml:space="preserve"> PAGEREF _Toc20468467 \h </w:instrText>
            </w:r>
            <w:r w:rsidR="005700B7">
              <w:rPr>
                <w:noProof/>
                <w:webHidden/>
              </w:rPr>
            </w:r>
            <w:r w:rsidR="005700B7">
              <w:rPr>
                <w:noProof/>
                <w:webHidden/>
              </w:rPr>
              <w:fldChar w:fldCharType="separate"/>
            </w:r>
            <w:r w:rsidR="00F76766">
              <w:rPr>
                <w:noProof/>
                <w:webHidden/>
              </w:rPr>
              <w:t>12</w:t>
            </w:r>
            <w:r w:rsidR="005700B7">
              <w:rPr>
                <w:noProof/>
                <w:webHidden/>
              </w:rPr>
              <w:fldChar w:fldCharType="end"/>
            </w:r>
          </w:hyperlink>
        </w:p>
        <w:p w14:paraId="7A923A2E" w14:textId="59514420" w:rsidR="005700B7" w:rsidRDefault="00000000">
          <w:pPr>
            <w:pStyle w:val="TOC2"/>
            <w:tabs>
              <w:tab w:val="right" w:leader="dot" w:pos="9350"/>
            </w:tabs>
            <w:rPr>
              <w:noProof/>
            </w:rPr>
          </w:pPr>
          <w:hyperlink w:anchor="_Toc20468468" w:history="1">
            <w:r w:rsidR="005700B7" w:rsidRPr="00160BCA">
              <w:rPr>
                <w:rStyle w:val="Hyperlink"/>
                <w:rFonts w:ascii="Times New Roman" w:hAnsi="Times New Roman" w:cs="Times New Roman"/>
                <w:noProof/>
              </w:rPr>
              <w:t>Engagement with Employers</w:t>
            </w:r>
            <w:r w:rsidR="005700B7">
              <w:rPr>
                <w:noProof/>
                <w:webHidden/>
              </w:rPr>
              <w:tab/>
            </w:r>
            <w:r w:rsidR="005700B7">
              <w:rPr>
                <w:noProof/>
                <w:webHidden/>
              </w:rPr>
              <w:fldChar w:fldCharType="begin"/>
            </w:r>
            <w:r w:rsidR="005700B7">
              <w:rPr>
                <w:noProof/>
                <w:webHidden/>
              </w:rPr>
              <w:instrText xml:space="preserve"> PAGEREF _Toc20468468 \h </w:instrText>
            </w:r>
            <w:r w:rsidR="005700B7">
              <w:rPr>
                <w:noProof/>
                <w:webHidden/>
              </w:rPr>
            </w:r>
            <w:r w:rsidR="005700B7">
              <w:rPr>
                <w:noProof/>
                <w:webHidden/>
              </w:rPr>
              <w:fldChar w:fldCharType="separate"/>
            </w:r>
            <w:r w:rsidR="00F76766">
              <w:rPr>
                <w:noProof/>
                <w:webHidden/>
              </w:rPr>
              <w:t>12</w:t>
            </w:r>
            <w:r w:rsidR="005700B7">
              <w:rPr>
                <w:noProof/>
                <w:webHidden/>
              </w:rPr>
              <w:fldChar w:fldCharType="end"/>
            </w:r>
          </w:hyperlink>
        </w:p>
        <w:p w14:paraId="56CEFC02" w14:textId="6F99E744" w:rsidR="005700B7" w:rsidRDefault="00000000">
          <w:pPr>
            <w:pStyle w:val="TOC2"/>
            <w:tabs>
              <w:tab w:val="right" w:leader="dot" w:pos="9350"/>
            </w:tabs>
            <w:rPr>
              <w:noProof/>
            </w:rPr>
          </w:pPr>
          <w:hyperlink w:anchor="_Toc20468469" w:history="1">
            <w:r w:rsidR="005700B7" w:rsidRPr="00160BCA">
              <w:rPr>
                <w:rStyle w:val="Hyperlink"/>
                <w:rFonts w:ascii="Times New Roman" w:hAnsi="Times New Roman" w:cs="Times New Roman"/>
                <w:noProof/>
              </w:rPr>
              <w:t>Summary of the Implementation Evaluation</w:t>
            </w:r>
            <w:r w:rsidR="005700B7">
              <w:rPr>
                <w:noProof/>
                <w:webHidden/>
              </w:rPr>
              <w:tab/>
            </w:r>
            <w:r w:rsidR="005700B7">
              <w:rPr>
                <w:noProof/>
                <w:webHidden/>
              </w:rPr>
              <w:fldChar w:fldCharType="begin"/>
            </w:r>
            <w:r w:rsidR="005700B7">
              <w:rPr>
                <w:noProof/>
                <w:webHidden/>
              </w:rPr>
              <w:instrText xml:space="preserve"> PAGEREF _Toc20468469 \h </w:instrText>
            </w:r>
            <w:r w:rsidR="005700B7">
              <w:rPr>
                <w:noProof/>
                <w:webHidden/>
              </w:rPr>
            </w:r>
            <w:r w:rsidR="005700B7">
              <w:rPr>
                <w:noProof/>
                <w:webHidden/>
              </w:rPr>
              <w:fldChar w:fldCharType="separate"/>
            </w:r>
            <w:r w:rsidR="00F76766">
              <w:rPr>
                <w:noProof/>
                <w:webHidden/>
              </w:rPr>
              <w:t>13</w:t>
            </w:r>
            <w:r w:rsidR="005700B7">
              <w:rPr>
                <w:noProof/>
                <w:webHidden/>
              </w:rPr>
              <w:fldChar w:fldCharType="end"/>
            </w:r>
          </w:hyperlink>
        </w:p>
        <w:p w14:paraId="5DA6B7F5" w14:textId="77E77572" w:rsidR="005700B7" w:rsidRDefault="00000000">
          <w:pPr>
            <w:pStyle w:val="TOC1"/>
            <w:tabs>
              <w:tab w:val="right" w:leader="dot" w:pos="9350"/>
            </w:tabs>
            <w:rPr>
              <w:noProof/>
            </w:rPr>
          </w:pPr>
          <w:hyperlink w:anchor="_Toc20468470" w:history="1">
            <w:r w:rsidR="005700B7" w:rsidRPr="00160BCA">
              <w:rPr>
                <w:rStyle w:val="Hyperlink"/>
                <w:rFonts w:ascii="Times New Roman" w:hAnsi="Times New Roman" w:cs="Times New Roman"/>
                <w:noProof/>
              </w:rPr>
              <w:t>The Quantitative Evaluation</w:t>
            </w:r>
            <w:r w:rsidR="005700B7">
              <w:rPr>
                <w:noProof/>
                <w:webHidden/>
              </w:rPr>
              <w:tab/>
            </w:r>
            <w:r w:rsidR="005700B7">
              <w:rPr>
                <w:noProof/>
                <w:webHidden/>
              </w:rPr>
              <w:fldChar w:fldCharType="begin"/>
            </w:r>
            <w:r w:rsidR="005700B7">
              <w:rPr>
                <w:noProof/>
                <w:webHidden/>
              </w:rPr>
              <w:instrText xml:space="preserve"> PAGEREF _Toc20468470 \h </w:instrText>
            </w:r>
            <w:r w:rsidR="005700B7">
              <w:rPr>
                <w:noProof/>
                <w:webHidden/>
              </w:rPr>
            </w:r>
            <w:r w:rsidR="005700B7">
              <w:rPr>
                <w:noProof/>
                <w:webHidden/>
              </w:rPr>
              <w:fldChar w:fldCharType="separate"/>
            </w:r>
            <w:r w:rsidR="00F76766">
              <w:rPr>
                <w:noProof/>
                <w:webHidden/>
              </w:rPr>
              <w:t>13</w:t>
            </w:r>
            <w:r w:rsidR="005700B7">
              <w:rPr>
                <w:noProof/>
                <w:webHidden/>
              </w:rPr>
              <w:fldChar w:fldCharType="end"/>
            </w:r>
          </w:hyperlink>
        </w:p>
        <w:p w14:paraId="5FEC2D09" w14:textId="3EDE6B0A" w:rsidR="005700B7" w:rsidRDefault="00000000">
          <w:pPr>
            <w:pStyle w:val="TOC2"/>
            <w:tabs>
              <w:tab w:val="right" w:leader="dot" w:pos="9350"/>
            </w:tabs>
            <w:rPr>
              <w:noProof/>
            </w:rPr>
          </w:pPr>
          <w:hyperlink w:anchor="_Toc20468471" w:history="1">
            <w:r w:rsidR="005700B7" w:rsidRPr="00160BCA">
              <w:rPr>
                <w:rStyle w:val="Hyperlink"/>
                <w:rFonts w:ascii="Times New Roman" w:hAnsi="Times New Roman" w:cs="Times New Roman"/>
                <w:noProof/>
              </w:rPr>
              <w:t>The Targeted Population and its Relation to Ohio’s New Service Delivery System</w:t>
            </w:r>
            <w:r w:rsidR="005700B7">
              <w:rPr>
                <w:noProof/>
                <w:webHidden/>
              </w:rPr>
              <w:tab/>
            </w:r>
            <w:r w:rsidR="005700B7">
              <w:rPr>
                <w:noProof/>
                <w:webHidden/>
              </w:rPr>
              <w:fldChar w:fldCharType="begin"/>
            </w:r>
            <w:r w:rsidR="005700B7">
              <w:rPr>
                <w:noProof/>
                <w:webHidden/>
              </w:rPr>
              <w:instrText xml:space="preserve"> PAGEREF _Toc20468471 \h </w:instrText>
            </w:r>
            <w:r w:rsidR="005700B7">
              <w:rPr>
                <w:noProof/>
                <w:webHidden/>
              </w:rPr>
            </w:r>
            <w:r w:rsidR="005700B7">
              <w:rPr>
                <w:noProof/>
                <w:webHidden/>
              </w:rPr>
              <w:fldChar w:fldCharType="separate"/>
            </w:r>
            <w:r w:rsidR="00F76766">
              <w:rPr>
                <w:noProof/>
                <w:webHidden/>
              </w:rPr>
              <w:t>13</w:t>
            </w:r>
            <w:r w:rsidR="005700B7">
              <w:rPr>
                <w:noProof/>
                <w:webHidden/>
              </w:rPr>
              <w:fldChar w:fldCharType="end"/>
            </w:r>
          </w:hyperlink>
        </w:p>
        <w:p w14:paraId="028895DA" w14:textId="77ECE2F6" w:rsidR="005700B7" w:rsidRDefault="00000000">
          <w:pPr>
            <w:pStyle w:val="TOC2"/>
            <w:tabs>
              <w:tab w:val="right" w:leader="dot" w:pos="9350"/>
            </w:tabs>
            <w:rPr>
              <w:noProof/>
            </w:rPr>
          </w:pPr>
          <w:hyperlink w:anchor="_Toc20468472" w:history="1">
            <w:r w:rsidR="005700B7" w:rsidRPr="00160BCA">
              <w:rPr>
                <w:rStyle w:val="Hyperlink"/>
                <w:rFonts w:ascii="Times New Roman" w:hAnsi="Times New Roman" w:cs="Times New Roman"/>
                <w:noProof/>
              </w:rPr>
              <w:t>The Objectives</w:t>
            </w:r>
            <w:r w:rsidR="005700B7">
              <w:rPr>
                <w:noProof/>
                <w:webHidden/>
              </w:rPr>
              <w:tab/>
            </w:r>
            <w:r w:rsidR="005700B7">
              <w:rPr>
                <w:noProof/>
                <w:webHidden/>
              </w:rPr>
              <w:fldChar w:fldCharType="begin"/>
            </w:r>
            <w:r w:rsidR="005700B7">
              <w:rPr>
                <w:noProof/>
                <w:webHidden/>
              </w:rPr>
              <w:instrText xml:space="preserve"> PAGEREF _Toc20468472 \h </w:instrText>
            </w:r>
            <w:r w:rsidR="005700B7">
              <w:rPr>
                <w:noProof/>
                <w:webHidden/>
              </w:rPr>
            </w:r>
            <w:r w:rsidR="005700B7">
              <w:rPr>
                <w:noProof/>
                <w:webHidden/>
              </w:rPr>
              <w:fldChar w:fldCharType="separate"/>
            </w:r>
            <w:r w:rsidR="00F76766">
              <w:rPr>
                <w:noProof/>
                <w:webHidden/>
              </w:rPr>
              <w:t>14</w:t>
            </w:r>
            <w:r w:rsidR="005700B7">
              <w:rPr>
                <w:noProof/>
                <w:webHidden/>
              </w:rPr>
              <w:fldChar w:fldCharType="end"/>
            </w:r>
          </w:hyperlink>
        </w:p>
        <w:p w14:paraId="4CE98F08" w14:textId="0BB4BB7F" w:rsidR="005700B7" w:rsidRDefault="00000000">
          <w:pPr>
            <w:pStyle w:val="TOC2"/>
            <w:tabs>
              <w:tab w:val="right" w:leader="dot" w:pos="9350"/>
            </w:tabs>
            <w:rPr>
              <w:noProof/>
            </w:rPr>
          </w:pPr>
          <w:hyperlink w:anchor="_Toc20468473" w:history="1">
            <w:r w:rsidR="005700B7" w:rsidRPr="00160BCA">
              <w:rPr>
                <w:rStyle w:val="Hyperlink"/>
                <w:rFonts w:ascii="Times New Roman" w:hAnsi="Times New Roman" w:cs="Times New Roman"/>
                <w:noProof/>
              </w:rPr>
              <w:t>Data Sources</w:t>
            </w:r>
            <w:r w:rsidR="005700B7">
              <w:rPr>
                <w:noProof/>
                <w:webHidden/>
              </w:rPr>
              <w:tab/>
            </w:r>
            <w:r w:rsidR="005700B7">
              <w:rPr>
                <w:noProof/>
                <w:webHidden/>
              </w:rPr>
              <w:fldChar w:fldCharType="begin"/>
            </w:r>
            <w:r w:rsidR="005700B7">
              <w:rPr>
                <w:noProof/>
                <w:webHidden/>
              </w:rPr>
              <w:instrText xml:space="preserve"> PAGEREF _Toc20468473 \h </w:instrText>
            </w:r>
            <w:r w:rsidR="005700B7">
              <w:rPr>
                <w:noProof/>
                <w:webHidden/>
              </w:rPr>
            </w:r>
            <w:r w:rsidR="005700B7">
              <w:rPr>
                <w:noProof/>
                <w:webHidden/>
              </w:rPr>
              <w:fldChar w:fldCharType="separate"/>
            </w:r>
            <w:r w:rsidR="00F76766">
              <w:rPr>
                <w:noProof/>
                <w:webHidden/>
              </w:rPr>
              <w:t>14</w:t>
            </w:r>
            <w:r w:rsidR="005700B7">
              <w:rPr>
                <w:noProof/>
                <w:webHidden/>
              </w:rPr>
              <w:fldChar w:fldCharType="end"/>
            </w:r>
          </w:hyperlink>
        </w:p>
        <w:p w14:paraId="372100A6" w14:textId="529655D9" w:rsidR="005700B7" w:rsidRDefault="00000000">
          <w:pPr>
            <w:pStyle w:val="TOC3"/>
            <w:tabs>
              <w:tab w:val="right" w:leader="dot" w:pos="9350"/>
            </w:tabs>
            <w:rPr>
              <w:noProof/>
            </w:rPr>
          </w:pPr>
          <w:hyperlink w:anchor="_Toc20468474" w:history="1">
            <w:r w:rsidR="005700B7" w:rsidRPr="00160BCA">
              <w:rPr>
                <w:rStyle w:val="Hyperlink"/>
                <w:rFonts w:ascii="Times New Roman" w:hAnsi="Times New Roman" w:cs="Times New Roman"/>
                <w:noProof/>
              </w:rPr>
              <w:t>Administrative Data</w:t>
            </w:r>
            <w:r w:rsidR="005700B7">
              <w:rPr>
                <w:noProof/>
                <w:webHidden/>
              </w:rPr>
              <w:tab/>
            </w:r>
            <w:r w:rsidR="005700B7">
              <w:rPr>
                <w:noProof/>
                <w:webHidden/>
              </w:rPr>
              <w:fldChar w:fldCharType="begin"/>
            </w:r>
            <w:r w:rsidR="005700B7">
              <w:rPr>
                <w:noProof/>
                <w:webHidden/>
              </w:rPr>
              <w:instrText xml:space="preserve"> PAGEREF _Toc20468474 \h </w:instrText>
            </w:r>
            <w:r w:rsidR="005700B7">
              <w:rPr>
                <w:noProof/>
                <w:webHidden/>
              </w:rPr>
            </w:r>
            <w:r w:rsidR="005700B7">
              <w:rPr>
                <w:noProof/>
                <w:webHidden/>
              </w:rPr>
              <w:fldChar w:fldCharType="separate"/>
            </w:r>
            <w:r w:rsidR="00F76766">
              <w:rPr>
                <w:noProof/>
                <w:webHidden/>
              </w:rPr>
              <w:t>15</w:t>
            </w:r>
            <w:r w:rsidR="005700B7">
              <w:rPr>
                <w:noProof/>
                <w:webHidden/>
              </w:rPr>
              <w:fldChar w:fldCharType="end"/>
            </w:r>
          </w:hyperlink>
        </w:p>
        <w:p w14:paraId="0822A983" w14:textId="78848274" w:rsidR="005700B7" w:rsidRDefault="00000000">
          <w:pPr>
            <w:pStyle w:val="TOC3"/>
            <w:tabs>
              <w:tab w:val="right" w:leader="dot" w:pos="9350"/>
            </w:tabs>
            <w:rPr>
              <w:noProof/>
            </w:rPr>
          </w:pPr>
          <w:hyperlink w:anchor="_Toc20468475" w:history="1">
            <w:r w:rsidR="005700B7" w:rsidRPr="00160BCA">
              <w:rPr>
                <w:rStyle w:val="Hyperlink"/>
                <w:rFonts w:ascii="Times New Roman" w:hAnsi="Times New Roman" w:cs="Times New Roman"/>
                <w:noProof/>
              </w:rPr>
              <w:t>Survey Data</w:t>
            </w:r>
            <w:r w:rsidR="005700B7">
              <w:rPr>
                <w:noProof/>
                <w:webHidden/>
              </w:rPr>
              <w:tab/>
            </w:r>
            <w:r w:rsidR="005700B7">
              <w:rPr>
                <w:noProof/>
                <w:webHidden/>
              </w:rPr>
              <w:fldChar w:fldCharType="begin"/>
            </w:r>
            <w:r w:rsidR="005700B7">
              <w:rPr>
                <w:noProof/>
                <w:webHidden/>
              </w:rPr>
              <w:instrText xml:space="preserve"> PAGEREF _Toc20468475 \h </w:instrText>
            </w:r>
            <w:r w:rsidR="005700B7">
              <w:rPr>
                <w:noProof/>
                <w:webHidden/>
              </w:rPr>
            </w:r>
            <w:r w:rsidR="005700B7">
              <w:rPr>
                <w:noProof/>
                <w:webHidden/>
              </w:rPr>
              <w:fldChar w:fldCharType="separate"/>
            </w:r>
            <w:r w:rsidR="00F76766">
              <w:rPr>
                <w:noProof/>
                <w:webHidden/>
              </w:rPr>
              <w:t>21</w:t>
            </w:r>
            <w:r w:rsidR="005700B7">
              <w:rPr>
                <w:noProof/>
                <w:webHidden/>
              </w:rPr>
              <w:fldChar w:fldCharType="end"/>
            </w:r>
          </w:hyperlink>
        </w:p>
        <w:p w14:paraId="34CDCBD3" w14:textId="66AB90A2" w:rsidR="005700B7" w:rsidRDefault="00000000">
          <w:pPr>
            <w:pStyle w:val="TOC2"/>
            <w:tabs>
              <w:tab w:val="right" w:leader="dot" w:pos="9350"/>
            </w:tabs>
            <w:rPr>
              <w:noProof/>
            </w:rPr>
          </w:pPr>
          <w:hyperlink w:anchor="_Toc20468476" w:history="1">
            <w:r w:rsidR="005700B7" w:rsidRPr="00160BCA">
              <w:rPr>
                <w:rStyle w:val="Hyperlink"/>
                <w:rFonts w:ascii="Times New Roman" w:hAnsi="Times New Roman" w:cs="Times New Roman"/>
                <w:noProof/>
              </w:rPr>
              <w:t>The Outcome Study</w:t>
            </w:r>
            <w:r w:rsidR="005700B7">
              <w:rPr>
                <w:noProof/>
                <w:webHidden/>
              </w:rPr>
              <w:tab/>
            </w:r>
            <w:r w:rsidR="005700B7">
              <w:rPr>
                <w:noProof/>
                <w:webHidden/>
              </w:rPr>
              <w:fldChar w:fldCharType="begin"/>
            </w:r>
            <w:r w:rsidR="005700B7">
              <w:rPr>
                <w:noProof/>
                <w:webHidden/>
              </w:rPr>
              <w:instrText xml:space="preserve"> PAGEREF _Toc20468476 \h </w:instrText>
            </w:r>
            <w:r w:rsidR="005700B7">
              <w:rPr>
                <w:noProof/>
                <w:webHidden/>
              </w:rPr>
            </w:r>
            <w:r w:rsidR="005700B7">
              <w:rPr>
                <w:noProof/>
                <w:webHidden/>
              </w:rPr>
              <w:fldChar w:fldCharType="separate"/>
            </w:r>
            <w:r w:rsidR="00F76766">
              <w:rPr>
                <w:noProof/>
                <w:webHidden/>
              </w:rPr>
              <w:t>25</w:t>
            </w:r>
            <w:r w:rsidR="005700B7">
              <w:rPr>
                <w:noProof/>
                <w:webHidden/>
              </w:rPr>
              <w:fldChar w:fldCharType="end"/>
            </w:r>
          </w:hyperlink>
        </w:p>
        <w:p w14:paraId="56113132" w14:textId="3167DC77" w:rsidR="005700B7" w:rsidRDefault="00000000">
          <w:pPr>
            <w:pStyle w:val="TOC3"/>
            <w:tabs>
              <w:tab w:val="right" w:leader="dot" w:pos="9350"/>
            </w:tabs>
            <w:rPr>
              <w:noProof/>
            </w:rPr>
          </w:pPr>
          <w:hyperlink w:anchor="_Toc20468477" w:history="1">
            <w:r w:rsidR="005700B7" w:rsidRPr="00160BCA">
              <w:rPr>
                <w:rStyle w:val="Hyperlink"/>
                <w:rFonts w:ascii="Times New Roman" w:hAnsi="Times New Roman" w:cs="Times New Roman"/>
                <w:noProof/>
              </w:rPr>
              <w:t>Research Design</w:t>
            </w:r>
            <w:r w:rsidR="005700B7">
              <w:rPr>
                <w:noProof/>
                <w:webHidden/>
              </w:rPr>
              <w:tab/>
            </w:r>
            <w:r w:rsidR="005700B7">
              <w:rPr>
                <w:noProof/>
                <w:webHidden/>
              </w:rPr>
              <w:fldChar w:fldCharType="begin"/>
            </w:r>
            <w:r w:rsidR="005700B7">
              <w:rPr>
                <w:noProof/>
                <w:webHidden/>
              </w:rPr>
              <w:instrText xml:space="preserve"> PAGEREF _Toc20468477 \h </w:instrText>
            </w:r>
            <w:r w:rsidR="005700B7">
              <w:rPr>
                <w:noProof/>
                <w:webHidden/>
              </w:rPr>
            </w:r>
            <w:r w:rsidR="005700B7">
              <w:rPr>
                <w:noProof/>
                <w:webHidden/>
              </w:rPr>
              <w:fldChar w:fldCharType="separate"/>
            </w:r>
            <w:r w:rsidR="00F76766">
              <w:rPr>
                <w:noProof/>
                <w:webHidden/>
              </w:rPr>
              <w:t>25</w:t>
            </w:r>
            <w:r w:rsidR="005700B7">
              <w:rPr>
                <w:noProof/>
                <w:webHidden/>
              </w:rPr>
              <w:fldChar w:fldCharType="end"/>
            </w:r>
          </w:hyperlink>
        </w:p>
        <w:p w14:paraId="6C99394E" w14:textId="1BDC991B" w:rsidR="005700B7" w:rsidRDefault="00000000">
          <w:pPr>
            <w:pStyle w:val="TOC3"/>
            <w:tabs>
              <w:tab w:val="right" w:leader="dot" w:pos="9350"/>
            </w:tabs>
            <w:rPr>
              <w:noProof/>
            </w:rPr>
          </w:pPr>
          <w:hyperlink w:anchor="_Toc20468478" w:history="1">
            <w:r w:rsidR="005700B7" w:rsidRPr="00160BCA">
              <w:rPr>
                <w:rStyle w:val="Hyperlink"/>
                <w:rFonts w:ascii="Times New Roman" w:hAnsi="Times New Roman" w:cs="Times New Roman"/>
                <w:noProof/>
              </w:rPr>
              <w:t>Measures of Education and Experience</w:t>
            </w:r>
            <w:r w:rsidR="005700B7">
              <w:rPr>
                <w:noProof/>
                <w:webHidden/>
              </w:rPr>
              <w:tab/>
            </w:r>
            <w:r w:rsidR="005700B7">
              <w:rPr>
                <w:noProof/>
                <w:webHidden/>
              </w:rPr>
              <w:fldChar w:fldCharType="begin"/>
            </w:r>
            <w:r w:rsidR="005700B7">
              <w:rPr>
                <w:noProof/>
                <w:webHidden/>
              </w:rPr>
              <w:instrText xml:space="preserve"> PAGEREF _Toc20468478 \h </w:instrText>
            </w:r>
            <w:r w:rsidR="005700B7">
              <w:rPr>
                <w:noProof/>
                <w:webHidden/>
              </w:rPr>
            </w:r>
            <w:r w:rsidR="005700B7">
              <w:rPr>
                <w:noProof/>
                <w:webHidden/>
              </w:rPr>
              <w:fldChar w:fldCharType="separate"/>
            </w:r>
            <w:r w:rsidR="00F76766">
              <w:rPr>
                <w:noProof/>
                <w:webHidden/>
              </w:rPr>
              <w:t>27</w:t>
            </w:r>
            <w:r w:rsidR="005700B7">
              <w:rPr>
                <w:noProof/>
                <w:webHidden/>
              </w:rPr>
              <w:fldChar w:fldCharType="end"/>
            </w:r>
          </w:hyperlink>
        </w:p>
        <w:p w14:paraId="4D3865FD" w14:textId="535C6769" w:rsidR="005700B7" w:rsidRDefault="00000000">
          <w:pPr>
            <w:pStyle w:val="TOC2"/>
            <w:tabs>
              <w:tab w:val="right" w:leader="dot" w:pos="9350"/>
            </w:tabs>
            <w:rPr>
              <w:noProof/>
            </w:rPr>
          </w:pPr>
          <w:hyperlink w:anchor="_Toc20468479" w:history="1">
            <w:r w:rsidR="005700B7" w:rsidRPr="00160BCA">
              <w:rPr>
                <w:rStyle w:val="Hyperlink"/>
                <w:rFonts w:ascii="Times New Roman" w:hAnsi="Times New Roman" w:cs="Times New Roman"/>
                <w:noProof/>
              </w:rPr>
              <w:t>Summary of the Quantitative Evaluation and Threats to Validity</w:t>
            </w:r>
            <w:r w:rsidR="005700B7">
              <w:rPr>
                <w:noProof/>
                <w:webHidden/>
              </w:rPr>
              <w:tab/>
            </w:r>
            <w:r w:rsidR="005700B7">
              <w:rPr>
                <w:noProof/>
                <w:webHidden/>
              </w:rPr>
              <w:fldChar w:fldCharType="begin"/>
            </w:r>
            <w:r w:rsidR="005700B7">
              <w:rPr>
                <w:noProof/>
                <w:webHidden/>
              </w:rPr>
              <w:instrText xml:space="preserve"> PAGEREF _Toc20468479 \h </w:instrText>
            </w:r>
            <w:r w:rsidR="005700B7">
              <w:rPr>
                <w:noProof/>
                <w:webHidden/>
              </w:rPr>
            </w:r>
            <w:r w:rsidR="005700B7">
              <w:rPr>
                <w:noProof/>
                <w:webHidden/>
              </w:rPr>
              <w:fldChar w:fldCharType="separate"/>
            </w:r>
            <w:r w:rsidR="00F76766">
              <w:rPr>
                <w:noProof/>
                <w:webHidden/>
              </w:rPr>
              <w:t>38</w:t>
            </w:r>
            <w:r w:rsidR="005700B7">
              <w:rPr>
                <w:noProof/>
                <w:webHidden/>
              </w:rPr>
              <w:fldChar w:fldCharType="end"/>
            </w:r>
          </w:hyperlink>
        </w:p>
        <w:p w14:paraId="07AD701B" w14:textId="39B77949" w:rsidR="005700B7" w:rsidRDefault="00000000">
          <w:pPr>
            <w:pStyle w:val="TOC1"/>
            <w:tabs>
              <w:tab w:val="right" w:leader="dot" w:pos="9350"/>
            </w:tabs>
            <w:rPr>
              <w:noProof/>
            </w:rPr>
          </w:pPr>
          <w:hyperlink w:anchor="_Toc20468480" w:history="1">
            <w:r w:rsidR="005700B7" w:rsidRPr="00160BCA">
              <w:rPr>
                <w:rStyle w:val="Hyperlink"/>
                <w:rFonts w:ascii="Times New Roman" w:hAnsi="Times New Roman" w:cs="Times New Roman"/>
                <w:noProof/>
              </w:rPr>
              <w:t>Cost Study</w:t>
            </w:r>
            <w:r w:rsidR="005700B7">
              <w:rPr>
                <w:noProof/>
                <w:webHidden/>
              </w:rPr>
              <w:tab/>
            </w:r>
            <w:r w:rsidR="005700B7">
              <w:rPr>
                <w:noProof/>
                <w:webHidden/>
              </w:rPr>
              <w:fldChar w:fldCharType="begin"/>
            </w:r>
            <w:r w:rsidR="005700B7">
              <w:rPr>
                <w:noProof/>
                <w:webHidden/>
              </w:rPr>
              <w:instrText xml:space="preserve"> PAGEREF _Toc20468480 \h </w:instrText>
            </w:r>
            <w:r w:rsidR="005700B7">
              <w:rPr>
                <w:noProof/>
                <w:webHidden/>
              </w:rPr>
            </w:r>
            <w:r w:rsidR="005700B7">
              <w:rPr>
                <w:noProof/>
                <w:webHidden/>
              </w:rPr>
              <w:fldChar w:fldCharType="separate"/>
            </w:r>
            <w:r w:rsidR="00F76766">
              <w:rPr>
                <w:noProof/>
                <w:webHidden/>
              </w:rPr>
              <w:t>40</w:t>
            </w:r>
            <w:r w:rsidR="005700B7">
              <w:rPr>
                <w:noProof/>
                <w:webHidden/>
              </w:rPr>
              <w:fldChar w:fldCharType="end"/>
            </w:r>
          </w:hyperlink>
        </w:p>
        <w:p w14:paraId="23B28371" w14:textId="05E1CC53" w:rsidR="005700B7" w:rsidRDefault="00000000">
          <w:pPr>
            <w:pStyle w:val="TOC2"/>
            <w:tabs>
              <w:tab w:val="right" w:leader="dot" w:pos="9350"/>
            </w:tabs>
            <w:rPr>
              <w:noProof/>
            </w:rPr>
          </w:pPr>
          <w:hyperlink w:anchor="_Toc20468481" w:history="1">
            <w:r w:rsidR="005700B7" w:rsidRPr="00160BCA">
              <w:rPr>
                <w:rStyle w:val="Hyperlink"/>
                <w:rFonts w:ascii="Times New Roman" w:hAnsi="Times New Roman" w:cs="Times New Roman"/>
                <w:noProof/>
              </w:rPr>
              <w:t>Fixed vs Variable Costs</w:t>
            </w:r>
            <w:r w:rsidR="005700B7">
              <w:rPr>
                <w:noProof/>
                <w:webHidden/>
              </w:rPr>
              <w:tab/>
            </w:r>
            <w:r w:rsidR="005700B7">
              <w:rPr>
                <w:noProof/>
                <w:webHidden/>
              </w:rPr>
              <w:fldChar w:fldCharType="begin"/>
            </w:r>
            <w:r w:rsidR="005700B7">
              <w:rPr>
                <w:noProof/>
                <w:webHidden/>
              </w:rPr>
              <w:instrText xml:space="preserve"> PAGEREF _Toc20468481 \h </w:instrText>
            </w:r>
            <w:r w:rsidR="005700B7">
              <w:rPr>
                <w:noProof/>
                <w:webHidden/>
              </w:rPr>
            </w:r>
            <w:r w:rsidR="005700B7">
              <w:rPr>
                <w:noProof/>
                <w:webHidden/>
              </w:rPr>
              <w:fldChar w:fldCharType="separate"/>
            </w:r>
            <w:r w:rsidR="00F76766">
              <w:rPr>
                <w:noProof/>
                <w:webHidden/>
              </w:rPr>
              <w:t>41</w:t>
            </w:r>
            <w:r w:rsidR="005700B7">
              <w:rPr>
                <w:noProof/>
                <w:webHidden/>
              </w:rPr>
              <w:fldChar w:fldCharType="end"/>
            </w:r>
          </w:hyperlink>
        </w:p>
        <w:p w14:paraId="12695268" w14:textId="333E6218" w:rsidR="005700B7" w:rsidRDefault="00000000">
          <w:pPr>
            <w:pStyle w:val="TOC2"/>
            <w:tabs>
              <w:tab w:val="right" w:leader="dot" w:pos="9350"/>
            </w:tabs>
            <w:rPr>
              <w:noProof/>
            </w:rPr>
          </w:pPr>
          <w:hyperlink w:anchor="_Toc20468482" w:history="1">
            <w:r w:rsidR="005700B7" w:rsidRPr="00160BCA">
              <w:rPr>
                <w:rStyle w:val="Hyperlink"/>
                <w:rFonts w:ascii="Times New Roman" w:hAnsi="Times New Roman" w:cs="Times New Roman"/>
                <w:noProof/>
              </w:rPr>
              <w:t>Implications for A Larger Implementation</w:t>
            </w:r>
            <w:r w:rsidR="005700B7">
              <w:rPr>
                <w:noProof/>
                <w:webHidden/>
              </w:rPr>
              <w:tab/>
            </w:r>
            <w:r w:rsidR="005700B7">
              <w:rPr>
                <w:noProof/>
                <w:webHidden/>
              </w:rPr>
              <w:fldChar w:fldCharType="begin"/>
            </w:r>
            <w:r w:rsidR="005700B7">
              <w:rPr>
                <w:noProof/>
                <w:webHidden/>
              </w:rPr>
              <w:instrText xml:space="preserve"> PAGEREF _Toc20468482 \h </w:instrText>
            </w:r>
            <w:r w:rsidR="005700B7">
              <w:rPr>
                <w:noProof/>
                <w:webHidden/>
              </w:rPr>
            </w:r>
            <w:r w:rsidR="005700B7">
              <w:rPr>
                <w:noProof/>
                <w:webHidden/>
              </w:rPr>
              <w:fldChar w:fldCharType="separate"/>
            </w:r>
            <w:r w:rsidR="00F76766">
              <w:rPr>
                <w:noProof/>
                <w:webHidden/>
              </w:rPr>
              <w:t>41</w:t>
            </w:r>
            <w:r w:rsidR="005700B7">
              <w:rPr>
                <w:noProof/>
                <w:webHidden/>
              </w:rPr>
              <w:fldChar w:fldCharType="end"/>
            </w:r>
          </w:hyperlink>
        </w:p>
        <w:p w14:paraId="6D8B16C7" w14:textId="47CFED78" w:rsidR="005700B7" w:rsidRDefault="00000000">
          <w:pPr>
            <w:pStyle w:val="TOC1"/>
            <w:tabs>
              <w:tab w:val="right" w:leader="dot" w:pos="9350"/>
            </w:tabs>
            <w:rPr>
              <w:noProof/>
            </w:rPr>
          </w:pPr>
          <w:hyperlink w:anchor="_Toc20468483" w:history="1">
            <w:r w:rsidR="005700B7" w:rsidRPr="00160BCA">
              <w:rPr>
                <w:rStyle w:val="Hyperlink"/>
                <w:rFonts w:ascii="Times New Roman" w:hAnsi="Times New Roman" w:cs="Times New Roman"/>
                <w:noProof/>
              </w:rPr>
              <w:t>Conclusions from the Evaluation</w:t>
            </w:r>
            <w:r w:rsidR="005700B7">
              <w:rPr>
                <w:noProof/>
                <w:webHidden/>
              </w:rPr>
              <w:tab/>
            </w:r>
            <w:r w:rsidR="005700B7">
              <w:rPr>
                <w:noProof/>
                <w:webHidden/>
              </w:rPr>
              <w:fldChar w:fldCharType="begin"/>
            </w:r>
            <w:r w:rsidR="005700B7">
              <w:rPr>
                <w:noProof/>
                <w:webHidden/>
              </w:rPr>
              <w:instrText xml:space="preserve"> PAGEREF _Toc20468483 \h </w:instrText>
            </w:r>
            <w:r w:rsidR="005700B7">
              <w:rPr>
                <w:noProof/>
                <w:webHidden/>
              </w:rPr>
            </w:r>
            <w:r w:rsidR="005700B7">
              <w:rPr>
                <w:noProof/>
                <w:webHidden/>
              </w:rPr>
              <w:fldChar w:fldCharType="separate"/>
            </w:r>
            <w:r w:rsidR="00F76766">
              <w:rPr>
                <w:noProof/>
                <w:webHidden/>
              </w:rPr>
              <w:t>41</w:t>
            </w:r>
            <w:r w:rsidR="005700B7">
              <w:rPr>
                <w:noProof/>
                <w:webHidden/>
              </w:rPr>
              <w:fldChar w:fldCharType="end"/>
            </w:r>
          </w:hyperlink>
        </w:p>
        <w:p w14:paraId="0BF5B693" w14:textId="3F14F669" w:rsidR="005700B7" w:rsidRDefault="00000000">
          <w:pPr>
            <w:pStyle w:val="TOC1"/>
            <w:tabs>
              <w:tab w:val="right" w:leader="dot" w:pos="9350"/>
            </w:tabs>
            <w:rPr>
              <w:noProof/>
            </w:rPr>
          </w:pPr>
          <w:hyperlink w:anchor="_Toc20468484" w:history="1">
            <w:r w:rsidR="005700B7" w:rsidRPr="00160BCA">
              <w:rPr>
                <w:rStyle w:val="Hyperlink"/>
                <w:rFonts w:ascii="Times New Roman" w:hAnsi="Times New Roman" w:cs="Times New Roman"/>
                <w:noProof/>
              </w:rPr>
              <w:t>Appendix A – Seasonality in the Administrative Data</w:t>
            </w:r>
            <w:r w:rsidR="005700B7">
              <w:rPr>
                <w:noProof/>
                <w:webHidden/>
              </w:rPr>
              <w:tab/>
            </w:r>
            <w:r w:rsidR="005700B7">
              <w:rPr>
                <w:noProof/>
                <w:webHidden/>
              </w:rPr>
              <w:fldChar w:fldCharType="begin"/>
            </w:r>
            <w:r w:rsidR="005700B7">
              <w:rPr>
                <w:noProof/>
                <w:webHidden/>
              </w:rPr>
              <w:instrText xml:space="preserve"> PAGEREF _Toc20468484 \h </w:instrText>
            </w:r>
            <w:r w:rsidR="005700B7">
              <w:rPr>
                <w:noProof/>
                <w:webHidden/>
              </w:rPr>
            </w:r>
            <w:r w:rsidR="005700B7">
              <w:rPr>
                <w:noProof/>
                <w:webHidden/>
              </w:rPr>
              <w:fldChar w:fldCharType="separate"/>
            </w:r>
            <w:r w:rsidR="00F76766">
              <w:rPr>
                <w:noProof/>
                <w:webHidden/>
              </w:rPr>
              <w:t>42</w:t>
            </w:r>
            <w:r w:rsidR="005700B7">
              <w:rPr>
                <w:noProof/>
                <w:webHidden/>
              </w:rPr>
              <w:fldChar w:fldCharType="end"/>
            </w:r>
          </w:hyperlink>
        </w:p>
        <w:p w14:paraId="5E4107B9" w14:textId="02A04FAC" w:rsidR="00DD53D8" w:rsidRDefault="00DD53D8">
          <w:r>
            <w:rPr>
              <w:b/>
              <w:bCs/>
              <w:noProof/>
            </w:rPr>
            <w:fldChar w:fldCharType="end"/>
          </w:r>
        </w:p>
      </w:sdtContent>
    </w:sdt>
    <w:p w14:paraId="01B7497A" w14:textId="77777777" w:rsidR="0061283B" w:rsidRDefault="0061283B" w:rsidP="0061283B">
      <w:pPr>
        <w:pStyle w:val="Heading1"/>
        <w:rPr>
          <w:rFonts w:ascii="Times New Roman" w:hAnsi="Times New Roman" w:cs="Times New Roman"/>
        </w:rPr>
      </w:pPr>
      <w:bookmarkStart w:id="0" w:name="_Toc20468454"/>
      <w:r>
        <w:rPr>
          <w:rFonts w:ascii="Times New Roman" w:hAnsi="Times New Roman" w:cs="Times New Roman"/>
        </w:rPr>
        <w:lastRenderedPageBreak/>
        <w:t>Executive Summary</w:t>
      </w:r>
      <w:bookmarkEnd w:id="0"/>
    </w:p>
    <w:p w14:paraId="6F8A77CD" w14:textId="44CCD63B" w:rsidR="00AA4A29" w:rsidRDefault="0061283B" w:rsidP="00883191">
      <w:pPr>
        <w:jc w:val="both"/>
        <w:rPr>
          <w:rFonts w:ascii="Times New Roman" w:hAnsi="Times New Roman" w:cs="Times New Roman"/>
        </w:rPr>
      </w:pPr>
      <w:r w:rsidRPr="005700B7">
        <w:rPr>
          <w:rFonts w:ascii="Times New Roman" w:hAnsi="Times New Roman" w:cs="Times New Roman"/>
          <w:b/>
        </w:rPr>
        <w:t xml:space="preserve">The quantitative analysis of the </w:t>
      </w:r>
      <w:r w:rsidR="000348F0" w:rsidRPr="005700B7">
        <w:rPr>
          <w:rFonts w:ascii="Times New Roman" w:hAnsi="Times New Roman" w:cs="Times New Roman"/>
          <w:b/>
        </w:rPr>
        <w:t xml:space="preserve">Ohio </w:t>
      </w:r>
      <w:r w:rsidRPr="005700B7">
        <w:rPr>
          <w:rFonts w:ascii="Times New Roman" w:hAnsi="Times New Roman" w:cs="Times New Roman"/>
          <w:b/>
        </w:rPr>
        <w:t>Wage Pathways program detects an economically and statistically significant program effect on earnings</w:t>
      </w:r>
      <w:r w:rsidRPr="005700B7">
        <w:rPr>
          <w:rFonts w:ascii="Times New Roman" w:hAnsi="Times New Roman" w:cs="Times New Roman"/>
        </w:rPr>
        <w:t xml:space="preserve">.  We use </w:t>
      </w:r>
      <w:r w:rsidR="00A15917" w:rsidRPr="005700B7">
        <w:rPr>
          <w:rFonts w:ascii="Times New Roman" w:hAnsi="Times New Roman" w:cs="Times New Roman"/>
        </w:rPr>
        <w:t>2</w:t>
      </w:r>
      <w:r w:rsidR="00A15917" w:rsidRPr="005700B7">
        <w:rPr>
          <w:rFonts w:ascii="Times New Roman" w:hAnsi="Times New Roman" w:cs="Times New Roman"/>
          <w:vertAlign w:val="superscript"/>
        </w:rPr>
        <w:t>nd</w:t>
      </w:r>
      <w:r w:rsidR="00A15917" w:rsidRPr="005700B7">
        <w:rPr>
          <w:rFonts w:ascii="Times New Roman" w:hAnsi="Times New Roman" w:cs="Times New Roman"/>
        </w:rPr>
        <w:t xml:space="preserve"> </w:t>
      </w:r>
      <w:r w:rsidR="000348F0" w:rsidRPr="005700B7">
        <w:rPr>
          <w:rFonts w:ascii="Times New Roman" w:hAnsi="Times New Roman" w:cs="Times New Roman"/>
        </w:rPr>
        <w:t>Q</w:t>
      </w:r>
      <w:r w:rsidR="00F4474F" w:rsidRPr="005700B7">
        <w:rPr>
          <w:rFonts w:ascii="Times New Roman" w:hAnsi="Times New Roman" w:cs="Times New Roman"/>
        </w:rPr>
        <w:t xml:space="preserve">uarter 2018 through </w:t>
      </w:r>
      <w:r w:rsidR="00A15917" w:rsidRPr="005700B7">
        <w:rPr>
          <w:rFonts w:ascii="Times New Roman" w:hAnsi="Times New Roman" w:cs="Times New Roman"/>
        </w:rPr>
        <w:t>1</w:t>
      </w:r>
      <w:r w:rsidR="00A15917" w:rsidRPr="005700B7">
        <w:rPr>
          <w:rFonts w:ascii="Times New Roman" w:hAnsi="Times New Roman" w:cs="Times New Roman"/>
          <w:vertAlign w:val="superscript"/>
        </w:rPr>
        <w:t>st</w:t>
      </w:r>
      <w:r w:rsidR="00A15917" w:rsidRPr="005700B7">
        <w:rPr>
          <w:rFonts w:ascii="Times New Roman" w:hAnsi="Times New Roman" w:cs="Times New Roman"/>
        </w:rPr>
        <w:t xml:space="preserve"> </w:t>
      </w:r>
      <w:r w:rsidR="000348F0" w:rsidRPr="005700B7">
        <w:rPr>
          <w:rFonts w:ascii="Times New Roman" w:hAnsi="Times New Roman" w:cs="Times New Roman"/>
        </w:rPr>
        <w:t>Q</w:t>
      </w:r>
      <w:r w:rsidR="00F4474F" w:rsidRPr="005700B7">
        <w:rPr>
          <w:rFonts w:ascii="Times New Roman" w:hAnsi="Times New Roman" w:cs="Times New Roman"/>
        </w:rPr>
        <w:t>uarter 2019</w:t>
      </w:r>
      <w:r w:rsidRPr="005700B7">
        <w:rPr>
          <w:rFonts w:ascii="Times New Roman" w:hAnsi="Times New Roman" w:cs="Times New Roman"/>
        </w:rPr>
        <w:t xml:space="preserve"> as our post-onset period, allowing time for the </w:t>
      </w:r>
      <w:r w:rsidR="003228AE" w:rsidRPr="005700B7">
        <w:rPr>
          <w:rFonts w:ascii="Times New Roman" w:hAnsi="Times New Roman" w:cs="Times New Roman"/>
        </w:rPr>
        <w:t xml:space="preserve">selected </w:t>
      </w:r>
      <w:r w:rsidRPr="005700B7">
        <w:rPr>
          <w:rFonts w:ascii="Times New Roman" w:hAnsi="Times New Roman" w:cs="Times New Roman"/>
        </w:rPr>
        <w:t>counties (Cuyahoga</w:t>
      </w:r>
      <w:r w:rsidR="00155572" w:rsidRPr="005700B7">
        <w:rPr>
          <w:rFonts w:ascii="Times New Roman" w:hAnsi="Times New Roman" w:cs="Times New Roman"/>
        </w:rPr>
        <w:t>, Ashtabula, Ottawa and Summit) to get Wage Pathways operating and for the program effect on earnings to be manifest.  We estimate the program increases the earnings of eligible CCMEP clients by about $</w:t>
      </w:r>
      <w:r w:rsidR="00707A49" w:rsidRPr="005700B7">
        <w:rPr>
          <w:rFonts w:ascii="Times New Roman" w:hAnsi="Times New Roman" w:cs="Times New Roman"/>
        </w:rPr>
        <w:t>5</w:t>
      </w:r>
      <w:r w:rsidR="00155572" w:rsidRPr="005700B7">
        <w:rPr>
          <w:rFonts w:ascii="Times New Roman" w:hAnsi="Times New Roman" w:cs="Times New Roman"/>
        </w:rPr>
        <w:t>00/year</w:t>
      </w:r>
      <w:r w:rsidR="00AA4A29" w:rsidRPr="005700B7">
        <w:rPr>
          <w:rFonts w:ascii="Times New Roman" w:hAnsi="Times New Roman" w:cs="Times New Roman"/>
        </w:rPr>
        <w:t>, even after</w:t>
      </w:r>
      <w:r w:rsidR="00AA4A29">
        <w:rPr>
          <w:rFonts w:ascii="Times New Roman" w:hAnsi="Times New Roman" w:cs="Times New Roman"/>
        </w:rPr>
        <w:t xml:space="preserve"> controlling for demographic variables</w:t>
      </w:r>
      <w:r w:rsidR="00155572">
        <w:rPr>
          <w:rFonts w:ascii="Times New Roman" w:hAnsi="Times New Roman" w:cs="Times New Roman"/>
        </w:rPr>
        <w:t>.  From the outset, we designed this evaluation to compare outcomes for eligible persons versus ineligible persons, where county of residence determines eligibility.  This leaves the evaluation unaffected by any tendency of case workers to route more “promising” clients to receive the intervention – a problem known as “creaming</w:t>
      </w:r>
      <w:r w:rsidR="00B443EE">
        <w:rPr>
          <w:rFonts w:ascii="Times New Roman" w:hAnsi="Times New Roman" w:cs="Times New Roman"/>
        </w:rPr>
        <w:t>.</w:t>
      </w:r>
      <w:r w:rsidR="00155572">
        <w:rPr>
          <w:rFonts w:ascii="Times New Roman" w:hAnsi="Times New Roman" w:cs="Times New Roman"/>
        </w:rPr>
        <w:t xml:space="preserve">”  </w:t>
      </w:r>
    </w:p>
    <w:p w14:paraId="01436DC7" w14:textId="6FDCB139" w:rsidR="00B421CC" w:rsidRDefault="00B421CC" w:rsidP="00883191">
      <w:pPr>
        <w:jc w:val="both"/>
        <w:rPr>
          <w:rFonts w:ascii="Times New Roman" w:hAnsi="Times New Roman" w:cs="Times New Roman"/>
        </w:rPr>
      </w:pPr>
      <w:r>
        <w:rPr>
          <w:rFonts w:ascii="Times New Roman" w:hAnsi="Times New Roman" w:cs="Times New Roman"/>
        </w:rPr>
        <w:t>Wage Pathways is a “conditional cash transfer” program that provides incentives for youths to do that which is arguably in their own interests.  We find that, for CCMEP youths early in their careers, one more year of work experience increases earnings about 25% versus about 4% for one more year of education.  As youths become established, the return to experience falls whereas the return to education and training grows.  For many youths, incentives to find and hold a job align with their lack of interest in education and training, at least early on.  It appears the work skills gained on the first few jobs kick-start the youth’s earning power, and this likely underlies the findings here of a cost-effective program.</w:t>
      </w:r>
    </w:p>
    <w:p w14:paraId="3CDA297C" w14:textId="77777777" w:rsidR="00AB6AEA" w:rsidRDefault="00155572" w:rsidP="00883191">
      <w:pPr>
        <w:jc w:val="both"/>
        <w:rPr>
          <w:rFonts w:ascii="Times New Roman" w:hAnsi="Times New Roman" w:cs="Times New Roman"/>
        </w:rPr>
      </w:pPr>
      <w:r w:rsidRPr="00AB6AEA">
        <w:rPr>
          <w:rFonts w:ascii="Times New Roman" w:hAnsi="Times New Roman" w:cs="Times New Roman"/>
          <w:b/>
        </w:rPr>
        <w:t>The analysis is a “difference-in-difference” evaluation</w:t>
      </w:r>
      <w:r>
        <w:rPr>
          <w:rFonts w:ascii="Times New Roman" w:hAnsi="Times New Roman" w:cs="Times New Roman"/>
        </w:rPr>
        <w:t>, using each person’s labor force outcomes in the year before Wage Pathways started (pre-onset) as the “control” for their outcome</w:t>
      </w:r>
      <w:r w:rsidR="00521E1B">
        <w:rPr>
          <w:rFonts w:ascii="Times New Roman" w:hAnsi="Times New Roman" w:cs="Times New Roman"/>
        </w:rPr>
        <w:t>s</w:t>
      </w:r>
      <w:r>
        <w:rPr>
          <w:rFonts w:ascii="Times New Roman" w:hAnsi="Times New Roman" w:cs="Times New Roman"/>
        </w:rPr>
        <w:t xml:space="preserve"> subsequent to program start-up (post-onset).  </w:t>
      </w:r>
      <w:r w:rsidR="005530A4">
        <w:rPr>
          <w:rFonts w:ascii="Times New Roman" w:hAnsi="Times New Roman" w:cs="Times New Roman"/>
        </w:rPr>
        <w:t>We compare</w:t>
      </w:r>
      <w:r w:rsidR="000348F0">
        <w:rPr>
          <w:rFonts w:ascii="Times New Roman" w:hAnsi="Times New Roman" w:cs="Times New Roman"/>
        </w:rPr>
        <w:t>d</w:t>
      </w:r>
      <w:r w:rsidR="005530A4">
        <w:rPr>
          <w:rFonts w:ascii="Times New Roman" w:hAnsi="Times New Roman" w:cs="Times New Roman"/>
        </w:rPr>
        <w:t xml:space="preserve"> this change from the pre-onset period </w:t>
      </w:r>
      <w:r w:rsidR="00F4679B">
        <w:rPr>
          <w:rFonts w:ascii="Times New Roman" w:hAnsi="Times New Roman" w:cs="Times New Roman"/>
        </w:rPr>
        <w:t>(2</w:t>
      </w:r>
      <w:r w:rsidR="00F4679B" w:rsidRPr="00F4679B">
        <w:rPr>
          <w:rFonts w:ascii="Times New Roman" w:hAnsi="Times New Roman" w:cs="Times New Roman"/>
          <w:vertAlign w:val="superscript"/>
        </w:rPr>
        <w:t>nd</w:t>
      </w:r>
      <w:r w:rsidR="00F4679B">
        <w:rPr>
          <w:rFonts w:ascii="Times New Roman" w:hAnsi="Times New Roman" w:cs="Times New Roman"/>
        </w:rPr>
        <w:t xml:space="preserve"> </w:t>
      </w:r>
      <w:r w:rsidR="00A15917">
        <w:rPr>
          <w:rFonts w:ascii="Times New Roman" w:hAnsi="Times New Roman" w:cs="Times New Roman"/>
        </w:rPr>
        <w:t>Q</w:t>
      </w:r>
      <w:r w:rsidR="00F4679B">
        <w:rPr>
          <w:rFonts w:ascii="Times New Roman" w:hAnsi="Times New Roman" w:cs="Times New Roman"/>
        </w:rPr>
        <w:t>uarter 2016 through 1</w:t>
      </w:r>
      <w:r w:rsidR="00F4679B" w:rsidRPr="00F4679B">
        <w:rPr>
          <w:rFonts w:ascii="Times New Roman" w:hAnsi="Times New Roman" w:cs="Times New Roman"/>
          <w:vertAlign w:val="superscript"/>
        </w:rPr>
        <w:t>st</w:t>
      </w:r>
      <w:r w:rsidR="00F4679B">
        <w:rPr>
          <w:rFonts w:ascii="Times New Roman" w:hAnsi="Times New Roman" w:cs="Times New Roman"/>
        </w:rPr>
        <w:t xml:space="preserve"> </w:t>
      </w:r>
      <w:r w:rsidR="000348F0">
        <w:rPr>
          <w:rFonts w:ascii="Times New Roman" w:hAnsi="Times New Roman" w:cs="Times New Roman"/>
        </w:rPr>
        <w:t>Q</w:t>
      </w:r>
      <w:r w:rsidR="00F4679B">
        <w:rPr>
          <w:rFonts w:ascii="Times New Roman" w:hAnsi="Times New Roman" w:cs="Times New Roman"/>
        </w:rPr>
        <w:t xml:space="preserve">uarter 2017) </w:t>
      </w:r>
      <w:r w:rsidR="005530A4">
        <w:rPr>
          <w:rFonts w:ascii="Times New Roman" w:hAnsi="Times New Roman" w:cs="Times New Roman"/>
        </w:rPr>
        <w:t xml:space="preserve">to the post-onset period </w:t>
      </w:r>
      <w:r w:rsidR="00F4679B">
        <w:rPr>
          <w:rFonts w:ascii="Times New Roman" w:hAnsi="Times New Roman" w:cs="Times New Roman"/>
        </w:rPr>
        <w:t>for each person.  We then compared this change for CCMEP clients in counties with Wage Pathways (experim</w:t>
      </w:r>
      <w:r w:rsidR="009540AA">
        <w:rPr>
          <w:rFonts w:ascii="Times New Roman" w:hAnsi="Times New Roman" w:cs="Times New Roman"/>
        </w:rPr>
        <w:t>ent</w:t>
      </w:r>
      <w:r w:rsidR="00F4679B">
        <w:rPr>
          <w:rFonts w:ascii="Times New Roman" w:hAnsi="Times New Roman" w:cs="Times New Roman"/>
        </w:rPr>
        <w:t xml:space="preserve">al counties) to the change in counties without </w:t>
      </w:r>
      <w:r w:rsidR="009540AA">
        <w:rPr>
          <w:rFonts w:ascii="Times New Roman" w:hAnsi="Times New Roman" w:cs="Times New Roman"/>
        </w:rPr>
        <w:t xml:space="preserve">Wage Pathways (control counties), </w:t>
      </w:r>
      <w:r w:rsidR="005530A4">
        <w:rPr>
          <w:rFonts w:ascii="Times New Roman" w:hAnsi="Times New Roman" w:cs="Times New Roman"/>
        </w:rPr>
        <w:t xml:space="preserve">hence the name </w:t>
      </w:r>
      <w:r w:rsidR="009540AA">
        <w:rPr>
          <w:rFonts w:ascii="Times New Roman" w:hAnsi="Times New Roman" w:cs="Times New Roman"/>
        </w:rPr>
        <w:t xml:space="preserve">for this style of analysis </w:t>
      </w:r>
      <w:r w:rsidR="005530A4">
        <w:rPr>
          <w:rFonts w:ascii="Times New Roman" w:hAnsi="Times New Roman" w:cs="Times New Roman"/>
        </w:rPr>
        <w:t>“difference-in-difference</w:t>
      </w:r>
      <w:r w:rsidR="00521E1B">
        <w:rPr>
          <w:rFonts w:ascii="Times New Roman" w:hAnsi="Times New Roman" w:cs="Times New Roman"/>
        </w:rPr>
        <w:t>s</w:t>
      </w:r>
      <w:r w:rsidR="000348F0">
        <w:rPr>
          <w:rFonts w:ascii="Times New Roman" w:hAnsi="Times New Roman" w:cs="Times New Roman"/>
        </w:rPr>
        <w:t>.</w:t>
      </w:r>
      <w:r w:rsidR="005530A4">
        <w:rPr>
          <w:rFonts w:ascii="Times New Roman" w:hAnsi="Times New Roman" w:cs="Times New Roman"/>
        </w:rPr>
        <w:t xml:space="preserve">” </w:t>
      </w:r>
    </w:p>
    <w:p w14:paraId="2E22F34E" w14:textId="1654B6B8" w:rsidR="009A5DD0" w:rsidRDefault="00F4474F" w:rsidP="00883191">
      <w:pPr>
        <w:jc w:val="both"/>
        <w:rPr>
          <w:rFonts w:ascii="Times New Roman" w:hAnsi="Times New Roman" w:cs="Times New Roman"/>
        </w:rPr>
      </w:pPr>
      <w:r>
        <w:rPr>
          <w:rFonts w:ascii="Times New Roman" w:hAnsi="Times New Roman" w:cs="Times New Roman"/>
        </w:rPr>
        <w:t>This approach “nets out” both observed and unobserved differences between the pre- and post-onset periods for both “experimentals” and “controls</w:t>
      </w:r>
      <w:r w:rsidR="000348F0">
        <w:rPr>
          <w:rFonts w:ascii="Times New Roman" w:hAnsi="Times New Roman" w:cs="Times New Roman"/>
        </w:rPr>
        <w:t>,</w:t>
      </w:r>
      <w:r>
        <w:rPr>
          <w:rFonts w:ascii="Times New Roman" w:hAnsi="Times New Roman" w:cs="Times New Roman"/>
        </w:rPr>
        <w:t xml:space="preserve">” greatly reducing the risk of bias due to differences between those eligible for Wage Pathways and those who were ineligible.  </w:t>
      </w:r>
      <w:r w:rsidR="00707A49" w:rsidRPr="00AB6AEA">
        <w:rPr>
          <w:rFonts w:ascii="Times New Roman" w:hAnsi="Times New Roman" w:cs="Times New Roman"/>
          <w:b/>
        </w:rPr>
        <w:t>About 20% of the CCMEP cases used in this evaluation were in Wage Pathways counties</w:t>
      </w:r>
      <w:r w:rsidR="00707A49">
        <w:rPr>
          <w:rFonts w:ascii="Times New Roman" w:hAnsi="Times New Roman" w:cs="Times New Roman"/>
        </w:rPr>
        <w:t xml:space="preserve">.  </w:t>
      </w:r>
      <w:r w:rsidR="00155572">
        <w:rPr>
          <w:rFonts w:ascii="Times New Roman" w:hAnsi="Times New Roman" w:cs="Times New Roman"/>
        </w:rPr>
        <w:t>We also allow</w:t>
      </w:r>
      <w:r w:rsidR="000348F0">
        <w:rPr>
          <w:rFonts w:ascii="Times New Roman" w:hAnsi="Times New Roman" w:cs="Times New Roman"/>
        </w:rPr>
        <w:t>ed</w:t>
      </w:r>
      <w:r w:rsidR="00155572">
        <w:rPr>
          <w:rFonts w:ascii="Times New Roman" w:hAnsi="Times New Roman" w:cs="Times New Roman"/>
        </w:rPr>
        <w:t xml:space="preserve"> for a number of demographic factors to influence earnings growth between the two periods.  </w:t>
      </w:r>
      <w:r w:rsidR="00AB6AEA">
        <w:rPr>
          <w:rFonts w:ascii="Times New Roman" w:hAnsi="Times New Roman" w:cs="Times New Roman"/>
        </w:rPr>
        <w:t>We have more confidence in our estimate of program effects on earnings than our estimate of how the program changes operating costs in the counties</w:t>
      </w:r>
      <w:r w:rsidR="009A5DD0">
        <w:rPr>
          <w:rFonts w:ascii="Times New Roman" w:hAnsi="Times New Roman" w:cs="Times New Roman"/>
        </w:rPr>
        <w:t>.  This reflects the power of the administrative data we used</w:t>
      </w:r>
      <w:r w:rsidR="00AB6AEA">
        <w:rPr>
          <w:rFonts w:ascii="Times New Roman" w:hAnsi="Times New Roman" w:cs="Times New Roman"/>
        </w:rPr>
        <w:t xml:space="preserve">. </w:t>
      </w:r>
      <w:r w:rsidR="009A5DD0">
        <w:rPr>
          <w:rFonts w:ascii="Times New Roman" w:hAnsi="Times New Roman" w:cs="Times New Roman"/>
        </w:rPr>
        <w:t xml:space="preserve"> Those data allowed us to measure weeks of experience with great accuracy, </w:t>
      </w:r>
      <w:r w:rsidR="009A5DD0" w:rsidRPr="00AB6AEA">
        <w:rPr>
          <w:rFonts w:ascii="Times New Roman" w:hAnsi="Times New Roman" w:cs="Times New Roman"/>
          <w:b/>
        </w:rPr>
        <w:t>revealing a large rate of return to experience early in the work career</w:t>
      </w:r>
      <w:r w:rsidR="009A5DD0">
        <w:rPr>
          <w:rFonts w:ascii="Times New Roman" w:hAnsi="Times New Roman" w:cs="Times New Roman"/>
        </w:rPr>
        <w:t xml:space="preserve">.  This large return to experience, which early in the career is larger than the return to schooling for this population, may be driving the ability of a </w:t>
      </w:r>
      <w:r w:rsidR="0017337F">
        <w:rPr>
          <w:rFonts w:ascii="Times New Roman" w:hAnsi="Times New Roman" w:cs="Times New Roman"/>
        </w:rPr>
        <w:t>conditional cash transfer</w:t>
      </w:r>
      <w:r w:rsidR="009A5DD0">
        <w:rPr>
          <w:rFonts w:ascii="Times New Roman" w:hAnsi="Times New Roman" w:cs="Times New Roman"/>
        </w:rPr>
        <w:t xml:space="preserve"> strategy to jump-start careers.  It is possible the results here reflect, in part, the strong labor market the economy continues to enjoy.  Perhaps the Wage Pathways program was the right program at the right time.</w:t>
      </w:r>
    </w:p>
    <w:p w14:paraId="0DDCBD3F" w14:textId="65958EF8" w:rsidR="00155572" w:rsidRDefault="00155572" w:rsidP="00883191">
      <w:pPr>
        <w:jc w:val="both"/>
        <w:rPr>
          <w:rFonts w:ascii="Times New Roman" w:hAnsi="Times New Roman" w:cs="Times New Roman"/>
        </w:rPr>
      </w:pPr>
      <w:r w:rsidRPr="00AB6AEA">
        <w:rPr>
          <w:rFonts w:ascii="Times New Roman" w:hAnsi="Times New Roman" w:cs="Times New Roman"/>
          <w:b/>
        </w:rPr>
        <w:t xml:space="preserve">The </w:t>
      </w:r>
      <w:r w:rsidR="005530A4" w:rsidRPr="00AB6AEA">
        <w:rPr>
          <w:rFonts w:ascii="Times New Roman" w:hAnsi="Times New Roman" w:cs="Times New Roman"/>
          <w:b/>
        </w:rPr>
        <w:t>Wage Pathways experiment</w:t>
      </w:r>
      <w:r w:rsidRPr="00AB6AEA">
        <w:rPr>
          <w:rFonts w:ascii="Times New Roman" w:hAnsi="Times New Roman" w:cs="Times New Roman"/>
          <w:b/>
        </w:rPr>
        <w:t xml:space="preserve"> could not employ random assig</w:t>
      </w:r>
      <w:r w:rsidR="00AA4A29" w:rsidRPr="00AB6AEA">
        <w:rPr>
          <w:rFonts w:ascii="Times New Roman" w:hAnsi="Times New Roman" w:cs="Times New Roman"/>
          <w:b/>
        </w:rPr>
        <w:t>nment</w:t>
      </w:r>
      <w:r w:rsidR="000348F0">
        <w:rPr>
          <w:rFonts w:ascii="Times New Roman" w:hAnsi="Times New Roman" w:cs="Times New Roman"/>
        </w:rPr>
        <w:t>,</w:t>
      </w:r>
      <w:r w:rsidR="00AA4A29">
        <w:rPr>
          <w:rFonts w:ascii="Times New Roman" w:hAnsi="Times New Roman" w:cs="Times New Roman"/>
        </w:rPr>
        <w:t xml:space="preserve"> so a weakness is the possibility that experimental counties faced different labor market conditions from the other 84 “control” counties.  However, we used extensive data from Ohio’s Unemployment Insurance Earnings database to construct labor market indicators that we use</w:t>
      </w:r>
      <w:r w:rsidR="000348F0">
        <w:rPr>
          <w:rFonts w:ascii="Times New Roman" w:hAnsi="Times New Roman" w:cs="Times New Roman"/>
        </w:rPr>
        <w:t>d</w:t>
      </w:r>
      <w:r w:rsidR="00AA4A29">
        <w:rPr>
          <w:rFonts w:ascii="Times New Roman" w:hAnsi="Times New Roman" w:cs="Times New Roman"/>
        </w:rPr>
        <w:t xml:space="preserve"> as control factors in the </w:t>
      </w:r>
      <w:r w:rsidR="00AA4A29" w:rsidRPr="00C511A0">
        <w:rPr>
          <w:rFonts w:ascii="Times New Roman" w:hAnsi="Times New Roman" w:cs="Times New Roman"/>
        </w:rPr>
        <w:t xml:space="preserve">estimation.  Those labor market indicators did not materially affect the results, although </w:t>
      </w:r>
      <w:r w:rsidR="00C511A0" w:rsidRPr="00C511A0">
        <w:rPr>
          <w:rFonts w:ascii="Times New Roman" w:hAnsi="Times New Roman" w:cs="Times New Roman"/>
        </w:rPr>
        <w:t>some</w:t>
      </w:r>
      <w:r w:rsidR="00AA4A29" w:rsidRPr="00C511A0">
        <w:rPr>
          <w:rFonts w:ascii="Times New Roman" w:hAnsi="Times New Roman" w:cs="Times New Roman"/>
        </w:rPr>
        <w:t xml:space="preserve"> were statistically significant factors in explaining the change in earnings for our sample of approximately 15,000 in-scope CCMEP entrants.</w:t>
      </w:r>
      <w:r w:rsidR="00521E1B">
        <w:rPr>
          <w:rFonts w:ascii="Times New Roman" w:hAnsi="Times New Roman" w:cs="Times New Roman"/>
        </w:rPr>
        <w:t xml:space="preserve">  Aside from a higher proportion of Blacks in the experimental counties, youths in the control counties are an excellent match.</w:t>
      </w:r>
    </w:p>
    <w:p w14:paraId="1B0BFB4B" w14:textId="634574DA" w:rsidR="00505C71" w:rsidRPr="00505C71" w:rsidRDefault="004C7186" w:rsidP="009A5DD0">
      <w:pPr>
        <w:pStyle w:val="Heading1"/>
      </w:pPr>
      <w:bookmarkStart w:id="1" w:name="_Toc20468455"/>
      <w:r>
        <w:rPr>
          <w:rFonts w:ascii="Times New Roman" w:hAnsi="Times New Roman" w:cs="Times New Roman"/>
        </w:rPr>
        <w:lastRenderedPageBreak/>
        <w:t>Introduction</w:t>
      </w:r>
      <w:bookmarkEnd w:id="1"/>
    </w:p>
    <w:p w14:paraId="35B4238B" w14:textId="650BE959" w:rsidR="000D36CE" w:rsidRDefault="000D36CE" w:rsidP="00883191">
      <w:pPr>
        <w:jc w:val="both"/>
        <w:rPr>
          <w:rFonts w:ascii="Times New Roman" w:hAnsi="Times New Roman" w:cs="Times New Roman"/>
        </w:rPr>
      </w:pPr>
      <w:r w:rsidRPr="000D36CE">
        <w:rPr>
          <w:rFonts w:ascii="Times New Roman" w:hAnsi="Times New Roman" w:cs="Times New Roman"/>
        </w:rPr>
        <w:t xml:space="preserve">This </w:t>
      </w:r>
      <w:r w:rsidR="00CB3B75">
        <w:rPr>
          <w:rFonts w:ascii="Times New Roman" w:hAnsi="Times New Roman" w:cs="Times New Roman"/>
        </w:rPr>
        <w:t>report evaluates</w:t>
      </w:r>
      <w:r w:rsidRPr="000D36CE">
        <w:rPr>
          <w:rFonts w:ascii="Times New Roman" w:hAnsi="Times New Roman" w:cs="Times New Roman"/>
        </w:rPr>
        <w:t xml:space="preserve"> Ohio’s Wage Pathways experiment, funded by the U.S. Department of Labor through a Workforce Innovation Fund grant.</w:t>
      </w:r>
      <w:r>
        <w:rPr>
          <w:rFonts w:ascii="Times New Roman" w:hAnsi="Times New Roman" w:cs="Times New Roman"/>
        </w:rPr>
        <w:t xml:space="preserve">  This evaluation effort leans heavily on administrative data, especially Unemployment Insurance Earnings data (hereinafter UI Earnings data).  The Ohio Department of Job and Family Services (ODJFS) deposits this and other data with the Ohio Longitudinal Data Archive (OLDA) and the evaluation effort uses the data in the OLDA for much of its analysis.  </w:t>
      </w:r>
      <w:r w:rsidRPr="000D36CE">
        <w:rPr>
          <w:rFonts w:ascii="Times New Roman" w:hAnsi="Times New Roman" w:cs="Times New Roman"/>
        </w:rPr>
        <w:t>The Ohio State University</w:t>
      </w:r>
      <w:r>
        <w:rPr>
          <w:rFonts w:ascii="Times New Roman" w:hAnsi="Times New Roman" w:cs="Times New Roman"/>
        </w:rPr>
        <w:t xml:space="preserve"> (OSU) is the evaluator and </w:t>
      </w:r>
      <w:r w:rsidR="00982B40">
        <w:rPr>
          <w:rFonts w:ascii="Times New Roman" w:hAnsi="Times New Roman" w:cs="Times New Roman"/>
        </w:rPr>
        <w:t>host of</w:t>
      </w:r>
      <w:r>
        <w:rPr>
          <w:rFonts w:ascii="Times New Roman" w:hAnsi="Times New Roman" w:cs="Times New Roman"/>
        </w:rPr>
        <w:t xml:space="preserve"> the OLDA, which is a cooperative relationship between OSU and several agencies of the State of Ohio.  </w:t>
      </w:r>
    </w:p>
    <w:p w14:paraId="3BBB228D" w14:textId="7EE3B068" w:rsidR="00EA39EA" w:rsidRDefault="00B076BB" w:rsidP="00883191">
      <w:pPr>
        <w:jc w:val="both"/>
        <w:rPr>
          <w:rFonts w:ascii="Times New Roman" w:hAnsi="Times New Roman" w:cs="Times New Roman"/>
        </w:rPr>
      </w:pPr>
      <w:r w:rsidRPr="00B076BB">
        <w:rPr>
          <w:rFonts w:ascii="Times New Roman" w:hAnsi="Times New Roman" w:cs="Times New Roman"/>
          <w:b/>
        </w:rPr>
        <w:t>W</w:t>
      </w:r>
      <w:r w:rsidR="00532154" w:rsidRPr="00B076BB">
        <w:rPr>
          <w:rFonts w:ascii="Times New Roman" w:hAnsi="Times New Roman" w:cs="Times New Roman"/>
          <w:b/>
        </w:rPr>
        <w:t xml:space="preserve">e find the Wage Pathways program appears to </w:t>
      </w:r>
      <w:r w:rsidR="00A6640B" w:rsidRPr="00B076BB">
        <w:rPr>
          <w:rFonts w:ascii="Times New Roman" w:hAnsi="Times New Roman" w:cs="Times New Roman"/>
          <w:b/>
        </w:rPr>
        <w:t xml:space="preserve">make </w:t>
      </w:r>
      <w:r w:rsidR="00532154" w:rsidRPr="00B076BB">
        <w:rPr>
          <w:rFonts w:ascii="Times New Roman" w:hAnsi="Times New Roman" w:cs="Times New Roman"/>
          <w:b/>
        </w:rPr>
        <w:t>positive</w:t>
      </w:r>
      <w:r w:rsidR="005700B7">
        <w:rPr>
          <w:rFonts w:ascii="Times New Roman" w:hAnsi="Times New Roman" w:cs="Times New Roman"/>
          <w:b/>
        </w:rPr>
        <w:t xml:space="preserve"> earnings</w:t>
      </w:r>
      <w:r w:rsidR="00532154" w:rsidRPr="00B076BB">
        <w:rPr>
          <w:rFonts w:ascii="Times New Roman" w:hAnsi="Times New Roman" w:cs="Times New Roman"/>
          <w:b/>
        </w:rPr>
        <w:t xml:space="preserve"> impacts that are economically and statistically significant.  Our evaluation does not use true random assignment of subject and treatment and, while we do what we can to control for the fact that eligibility is defined by county and not random assignment</w:t>
      </w:r>
      <w:r w:rsidR="001146EC" w:rsidRPr="00B076BB">
        <w:rPr>
          <w:rFonts w:ascii="Times New Roman" w:hAnsi="Times New Roman" w:cs="Times New Roman"/>
          <w:b/>
        </w:rPr>
        <w:t xml:space="preserve"> within county</w:t>
      </w:r>
      <w:r w:rsidR="00532154" w:rsidRPr="00B076BB">
        <w:rPr>
          <w:rFonts w:ascii="Times New Roman" w:hAnsi="Times New Roman" w:cs="Times New Roman"/>
          <w:b/>
        </w:rPr>
        <w:t xml:space="preserve">, </w:t>
      </w:r>
      <w:r w:rsidR="00505C71" w:rsidRPr="00B076BB">
        <w:rPr>
          <w:rFonts w:ascii="Times New Roman" w:hAnsi="Times New Roman" w:cs="Times New Roman"/>
          <w:b/>
        </w:rPr>
        <w:t>the lack of true random assignment</w:t>
      </w:r>
      <w:r w:rsidR="00532154" w:rsidRPr="00B076BB">
        <w:rPr>
          <w:rFonts w:ascii="Times New Roman" w:hAnsi="Times New Roman" w:cs="Times New Roman"/>
          <w:b/>
        </w:rPr>
        <w:t xml:space="preserve"> is a clear and unavoidable weakness.</w:t>
      </w:r>
      <w:r w:rsidR="00532154">
        <w:rPr>
          <w:rFonts w:ascii="Times New Roman" w:hAnsi="Times New Roman" w:cs="Times New Roman"/>
        </w:rPr>
        <w:t xml:space="preserve">  </w:t>
      </w:r>
      <w:r w:rsidRPr="00B076BB">
        <w:rPr>
          <w:rFonts w:ascii="Times New Roman" w:hAnsi="Times New Roman" w:cs="Times New Roman"/>
        </w:rPr>
        <w:t xml:space="preserve">Quantitative results compare CCMEP youth eligible for WP with youth </w:t>
      </w:r>
      <w:r>
        <w:rPr>
          <w:rFonts w:ascii="Times New Roman" w:hAnsi="Times New Roman" w:cs="Times New Roman"/>
        </w:rPr>
        <w:t>who</w:t>
      </w:r>
      <w:r w:rsidRPr="00B076BB">
        <w:rPr>
          <w:rFonts w:ascii="Times New Roman" w:hAnsi="Times New Roman" w:cs="Times New Roman"/>
        </w:rPr>
        <w:t xml:space="preserve"> are ineligible. Because </w:t>
      </w:r>
      <w:r>
        <w:rPr>
          <w:rFonts w:ascii="Times New Roman" w:hAnsi="Times New Roman" w:cs="Times New Roman"/>
        </w:rPr>
        <w:t xml:space="preserve">county of residence determines </w:t>
      </w:r>
      <w:r w:rsidRPr="00B076BB">
        <w:rPr>
          <w:rFonts w:ascii="Times New Roman" w:hAnsi="Times New Roman" w:cs="Times New Roman"/>
        </w:rPr>
        <w:t>eligibility</w:t>
      </w:r>
      <w:r>
        <w:rPr>
          <w:rFonts w:ascii="Times New Roman" w:hAnsi="Times New Roman" w:cs="Times New Roman"/>
        </w:rPr>
        <w:t>,</w:t>
      </w:r>
      <w:r w:rsidRPr="00B076BB">
        <w:rPr>
          <w:rFonts w:ascii="Times New Roman" w:hAnsi="Times New Roman" w:cs="Times New Roman"/>
        </w:rPr>
        <w:t xml:space="preserve"> the results are not due to county staff assigning youth more likely to be successful to wage pathway programs. </w:t>
      </w:r>
      <w:r w:rsidR="00505C71">
        <w:rPr>
          <w:rFonts w:ascii="Times New Roman" w:hAnsi="Times New Roman" w:cs="Times New Roman"/>
        </w:rPr>
        <w:t xml:space="preserve">  </w:t>
      </w:r>
      <w:r w:rsidR="00505C71" w:rsidRPr="00B076BB">
        <w:rPr>
          <w:rFonts w:ascii="Times New Roman" w:hAnsi="Times New Roman" w:cs="Times New Roman"/>
          <w:b/>
        </w:rPr>
        <w:t>People often refer to the tendency to assign better prospects to a program as “creaming”; an implementation practice that severely compromises any evaluation</w:t>
      </w:r>
      <w:r w:rsidR="0043618A" w:rsidRPr="00B076BB">
        <w:rPr>
          <w:rFonts w:ascii="Times New Roman" w:hAnsi="Times New Roman" w:cs="Times New Roman"/>
          <w:b/>
        </w:rPr>
        <w:t xml:space="preserve">.  </w:t>
      </w:r>
      <w:r w:rsidR="00505C71" w:rsidRPr="00B076BB">
        <w:rPr>
          <w:rFonts w:ascii="Times New Roman" w:hAnsi="Times New Roman" w:cs="Times New Roman"/>
          <w:b/>
        </w:rPr>
        <w:t>Because county of residence determines eligibility, the evaluation here</w:t>
      </w:r>
      <w:r w:rsidR="00EA39EA" w:rsidRPr="00B076BB">
        <w:rPr>
          <w:rFonts w:ascii="Times New Roman" w:hAnsi="Times New Roman" w:cs="Times New Roman"/>
          <w:b/>
        </w:rPr>
        <w:t xml:space="preserve"> avoids the </w:t>
      </w:r>
      <w:r w:rsidR="00382E5E" w:rsidRPr="00B076BB">
        <w:rPr>
          <w:rFonts w:ascii="Times New Roman" w:hAnsi="Times New Roman" w:cs="Times New Roman"/>
          <w:b/>
        </w:rPr>
        <w:t xml:space="preserve">“creaming” </w:t>
      </w:r>
      <w:r w:rsidR="00EA39EA" w:rsidRPr="00B076BB">
        <w:rPr>
          <w:rFonts w:ascii="Times New Roman" w:hAnsi="Times New Roman" w:cs="Times New Roman"/>
          <w:b/>
        </w:rPr>
        <w:t>bias</w:t>
      </w:r>
      <w:r w:rsidR="00382E5E" w:rsidRPr="00B076BB">
        <w:rPr>
          <w:rFonts w:ascii="Times New Roman" w:hAnsi="Times New Roman" w:cs="Times New Roman"/>
          <w:b/>
        </w:rPr>
        <w:t>.</w:t>
      </w:r>
      <w:r w:rsidR="00EA39EA">
        <w:rPr>
          <w:rFonts w:ascii="Times New Roman" w:hAnsi="Times New Roman" w:cs="Times New Roman"/>
        </w:rPr>
        <w:t xml:space="preserve"> </w:t>
      </w:r>
    </w:p>
    <w:p w14:paraId="15295C8F" w14:textId="5C7294E4" w:rsidR="00532154" w:rsidRPr="000D36CE" w:rsidRDefault="0043618A" w:rsidP="00883191">
      <w:pPr>
        <w:jc w:val="both"/>
        <w:rPr>
          <w:rFonts w:ascii="Times New Roman" w:hAnsi="Times New Roman" w:cs="Times New Roman"/>
        </w:rPr>
      </w:pPr>
      <w:r>
        <w:rPr>
          <w:rFonts w:ascii="Times New Roman" w:hAnsi="Times New Roman" w:cs="Times New Roman"/>
        </w:rPr>
        <w:t>T</w:t>
      </w:r>
      <w:r w:rsidR="00532154">
        <w:rPr>
          <w:rFonts w:ascii="Times New Roman" w:hAnsi="Times New Roman" w:cs="Times New Roman"/>
        </w:rPr>
        <w:t xml:space="preserve">he findings here </w:t>
      </w:r>
      <w:r w:rsidR="00532154" w:rsidRPr="00B076BB">
        <w:rPr>
          <w:rFonts w:ascii="Times New Roman" w:hAnsi="Times New Roman" w:cs="Times New Roman"/>
          <w:b/>
        </w:rPr>
        <w:t>may be limited by the possibility that this program was the right program at the right time.</w:t>
      </w:r>
      <w:r w:rsidR="00532154">
        <w:rPr>
          <w:rFonts w:ascii="Times New Roman" w:hAnsi="Times New Roman" w:cs="Times New Roman"/>
        </w:rPr>
        <w:t xml:space="preserve">  Wage Pathways started up when the labor market was undeniably strong</w:t>
      </w:r>
      <w:r w:rsidR="00650B35">
        <w:rPr>
          <w:rFonts w:ascii="Times New Roman" w:hAnsi="Times New Roman" w:cs="Times New Roman"/>
        </w:rPr>
        <w:t xml:space="preserve"> and that continues as of this writing</w:t>
      </w:r>
      <w:r w:rsidR="00532154">
        <w:rPr>
          <w:rFonts w:ascii="Times New Roman" w:hAnsi="Times New Roman" w:cs="Times New Roman"/>
        </w:rPr>
        <w:t xml:space="preserve">.  Whether the </w:t>
      </w:r>
      <w:r w:rsidR="008D13BC">
        <w:rPr>
          <w:rFonts w:ascii="Times New Roman" w:hAnsi="Times New Roman" w:cs="Times New Roman"/>
        </w:rPr>
        <w:t xml:space="preserve">impacts we find here would have been found in a less </w:t>
      </w:r>
      <w:r w:rsidR="001779CF">
        <w:rPr>
          <w:rFonts w:ascii="Times New Roman" w:hAnsi="Times New Roman" w:cs="Times New Roman"/>
        </w:rPr>
        <w:t>favorable</w:t>
      </w:r>
      <w:r w:rsidR="008D13BC">
        <w:rPr>
          <w:rFonts w:ascii="Times New Roman" w:hAnsi="Times New Roman" w:cs="Times New Roman"/>
        </w:rPr>
        <w:t xml:space="preserve"> labor market is open to question.  </w:t>
      </w:r>
    </w:p>
    <w:p w14:paraId="6ED08B8D" w14:textId="77777777" w:rsidR="00530B2E" w:rsidRPr="00530B2E" w:rsidRDefault="00530B2E" w:rsidP="00883191">
      <w:pPr>
        <w:pStyle w:val="Heading1"/>
        <w:jc w:val="both"/>
        <w:rPr>
          <w:rFonts w:ascii="Times New Roman" w:hAnsi="Times New Roman" w:cs="Times New Roman"/>
        </w:rPr>
      </w:pPr>
      <w:bookmarkStart w:id="2" w:name="_Toc20468456"/>
      <w:r w:rsidRPr="00530B2E">
        <w:rPr>
          <w:rFonts w:ascii="Times New Roman" w:hAnsi="Times New Roman" w:cs="Times New Roman"/>
        </w:rPr>
        <w:t>Project Description</w:t>
      </w:r>
      <w:bookmarkEnd w:id="2"/>
    </w:p>
    <w:p w14:paraId="51868380" w14:textId="77777777" w:rsidR="00530B2E" w:rsidRPr="00530B2E" w:rsidRDefault="00530B2E" w:rsidP="00883191">
      <w:pPr>
        <w:pStyle w:val="Heading2"/>
        <w:jc w:val="both"/>
        <w:rPr>
          <w:rFonts w:ascii="Times New Roman" w:hAnsi="Times New Roman" w:cs="Times New Roman"/>
        </w:rPr>
      </w:pPr>
      <w:bookmarkStart w:id="3" w:name="_Toc20468457"/>
      <w:r w:rsidRPr="00530B2E">
        <w:rPr>
          <w:rFonts w:ascii="Times New Roman" w:hAnsi="Times New Roman" w:cs="Times New Roman"/>
        </w:rPr>
        <w:t>The Wage Pathways Intervention</w:t>
      </w:r>
      <w:bookmarkEnd w:id="3"/>
    </w:p>
    <w:p w14:paraId="306FB944" w14:textId="1D2E9B30" w:rsidR="009D41A0" w:rsidRPr="00530B2E" w:rsidRDefault="009D41A0" w:rsidP="00883191">
      <w:pPr>
        <w:jc w:val="both"/>
        <w:rPr>
          <w:rFonts w:ascii="Times New Roman" w:hAnsi="Times New Roman" w:cs="Times New Roman"/>
        </w:rPr>
      </w:pPr>
      <w:r>
        <w:rPr>
          <w:rFonts w:ascii="Times New Roman" w:hAnsi="Times New Roman" w:cs="Times New Roman"/>
        </w:rPr>
        <w:t xml:space="preserve">The Ohio Department of Job and Family Services (hereinafter ODJFS) undertook a significant restructuring of its workforce and support programs funded with </w:t>
      </w:r>
      <w:r w:rsidR="002765CD">
        <w:rPr>
          <w:rFonts w:ascii="Times New Roman" w:hAnsi="Times New Roman" w:cs="Times New Roman"/>
        </w:rPr>
        <w:t>Federal support</w:t>
      </w:r>
      <w:r>
        <w:rPr>
          <w:rFonts w:ascii="Times New Roman" w:hAnsi="Times New Roman" w:cs="Times New Roman"/>
        </w:rPr>
        <w:t xml:space="preserve">.  ODJFS has labelled these restructured programs as the </w:t>
      </w:r>
      <w:r w:rsidRPr="000C487F">
        <w:rPr>
          <w:rFonts w:ascii="Times New Roman" w:hAnsi="Times New Roman" w:cs="Times New Roman"/>
          <w:b/>
        </w:rPr>
        <w:t>Comprehensive Case Management and Employment Program (hereinafter CCMEP).</w:t>
      </w:r>
      <w:r>
        <w:rPr>
          <w:rFonts w:ascii="Times New Roman" w:hAnsi="Times New Roman" w:cs="Times New Roman"/>
        </w:rPr>
        <w:t xml:space="preserve">  The Wage Pathways </w:t>
      </w:r>
      <w:r w:rsidR="00B350AF">
        <w:rPr>
          <w:rFonts w:ascii="Times New Roman" w:hAnsi="Times New Roman" w:cs="Times New Roman"/>
        </w:rPr>
        <w:t xml:space="preserve">(WP) </w:t>
      </w:r>
      <w:r>
        <w:rPr>
          <w:rFonts w:ascii="Times New Roman" w:hAnsi="Times New Roman" w:cs="Times New Roman"/>
        </w:rPr>
        <w:t xml:space="preserve">project offers additional incentives </w:t>
      </w:r>
      <w:r w:rsidR="00A03490">
        <w:rPr>
          <w:rFonts w:ascii="Times New Roman" w:hAnsi="Times New Roman" w:cs="Times New Roman"/>
        </w:rPr>
        <w:t xml:space="preserve">and participant support </w:t>
      </w:r>
      <w:r>
        <w:rPr>
          <w:rFonts w:ascii="Times New Roman" w:hAnsi="Times New Roman" w:cs="Times New Roman"/>
        </w:rPr>
        <w:t xml:space="preserve">over and </w:t>
      </w:r>
      <w:r w:rsidR="00F016B0">
        <w:rPr>
          <w:rFonts w:ascii="Times New Roman" w:hAnsi="Times New Roman" w:cs="Times New Roman"/>
        </w:rPr>
        <w:t>abov</w:t>
      </w:r>
      <w:r w:rsidR="0089368F">
        <w:rPr>
          <w:rFonts w:ascii="Times New Roman" w:hAnsi="Times New Roman" w:cs="Times New Roman"/>
        </w:rPr>
        <w:t>e</w:t>
      </w:r>
      <w:r>
        <w:rPr>
          <w:rFonts w:ascii="Times New Roman" w:hAnsi="Times New Roman" w:cs="Times New Roman"/>
        </w:rPr>
        <w:t xml:space="preserve"> the CCMEP program</w:t>
      </w:r>
      <w:r w:rsidR="00A03490">
        <w:rPr>
          <w:rFonts w:ascii="Times New Roman" w:hAnsi="Times New Roman" w:cs="Times New Roman"/>
        </w:rPr>
        <w:t xml:space="preserve">.  The </w:t>
      </w:r>
      <w:r w:rsidR="00B350AF">
        <w:rPr>
          <w:rFonts w:ascii="Times New Roman" w:hAnsi="Times New Roman" w:cs="Times New Roman"/>
        </w:rPr>
        <w:t xml:space="preserve">WP </w:t>
      </w:r>
      <w:r w:rsidR="00A03490">
        <w:rPr>
          <w:rFonts w:ascii="Times New Roman" w:hAnsi="Times New Roman" w:cs="Times New Roman"/>
        </w:rPr>
        <w:t>incentives provide payments for continued employment, progress in securing a higher rate of pay</w:t>
      </w:r>
      <w:r w:rsidR="00F016B0">
        <w:rPr>
          <w:rFonts w:ascii="Times New Roman" w:hAnsi="Times New Roman" w:cs="Times New Roman"/>
        </w:rPr>
        <w:t>, and</w:t>
      </w:r>
      <w:r w:rsidR="0089368F">
        <w:rPr>
          <w:rFonts w:ascii="Times New Roman" w:hAnsi="Times New Roman" w:cs="Times New Roman"/>
        </w:rPr>
        <w:t xml:space="preserve"> </w:t>
      </w:r>
      <w:r w:rsidR="00A03490">
        <w:rPr>
          <w:rFonts w:ascii="Times New Roman" w:hAnsi="Times New Roman" w:cs="Times New Roman"/>
        </w:rPr>
        <w:t xml:space="preserve">payments for participants working their way into “in demand” jobs as defined by the state based on considerable input from employers.  </w:t>
      </w:r>
      <w:r w:rsidR="00513CF0">
        <w:rPr>
          <w:rFonts w:ascii="Times New Roman" w:hAnsi="Times New Roman" w:cs="Times New Roman"/>
        </w:rPr>
        <w:t>F</w:t>
      </w:r>
      <w:r w:rsidR="00A03490">
        <w:rPr>
          <w:rFonts w:ascii="Times New Roman" w:hAnsi="Times New Roman" w:cs="Times New Roman"/>
        </w:rPr>
        <w:t xml:space="preserve">or the reader to understand </w:t>
      </w:r>
      <w:r w:rsidR="00513CF0">
        <w:rPr>
          <w:rFonts w:ascii="Times New Roman" w:hAnsi="Times New Roman" w:cs="Times New Roman"/>
        </w:rPr>
        <w:t xml:space="preserve">Wage Pathways, </w:t>
      </w:r>
      <w:r w:rsidR="00A03490">
        <w:rPr>
          <w:rFonts w:ascii="Times New Roman" w:hAnsi="Times New Roman" w:cs="Times New Roman"/>
        </w:rPr>
        <w:t xml:space="preserve">we must </w:t>
      </w:r>
      <w:r w:rsidR="00513CF0">
        <w:rPr>
          <w:rFonts w:ascii="Times New Roman" w:hAnsi="Times New Roman" w:cs="Times New Roman"/>
        </w:rPr>
        <w:t>first</w:t>
      </w:r>
      <w:r w:rsidR="00A03490">
        <w:rPr>
          <w:rFonts w:ascii="Times New Roman" w:hAnsi="Times New Roman" w:cs="Times New Roman"/>
        </w:rPr>
        <w:t xml:space="preserve"> </w:t>
      </w:r>
      <w:r w:rsidR="00513CF0">
        <w:rPr>
          <w:rFonts w:ascii="Times New Roman" w:hAnsi="Times New Roman" w:cs="Times New Roman"/>
        </w:rPr>
        <w:t xml:space="preserve">describe </w:t>
      </w:r>
      <w:r w:rsidR="00A03490">
        <w:rPr>
          <w:rFonts w:ascii="Times New Roman" w:hAnsi="Times New Roman" w:cs="Times New Roman"/>
        </w:rPr>
        <w:t xml:space="preserve">the CCMEP program that </w:t>
      </w:r>
      <w:r w:rsidR="004512E7">
        <w:rPr>
          <w:rFonts w:ascii="Times New Roman" w:hAnsi="Times New Roman" w:cs="Times New Roman"/>
        </w:rPr>
        <w:t>provides the overall framework within which the WP experiment fits</w:t>
      </w:r>
      <w:r w:rsidR="00A03490">
        <w:rPr>
          <w:rFonts w:ascii="Times New Roman" w:hAnsi="Times New Roman" w:cs="Times New Roman"/>
        </w:rPr>
        <w:t>.</w:t>
      </w:r>
    </w:p>
    <w:p w14:paraId="49233188" w14:textId="77777777" w:rsidR="002765CD" w:rsidRPr="004512E7" w:rsidRDefault="002765CD" w:rsidP="00334472">
      <w:pPr>
        <w:pStyle w:val="Heading2"/>
        <w:rPr>
          <w:rFonts w:ascii="Times New Roman" w:hAnsi="Times New Roman" w:cs="Times New Roman"/>
        </w:rPr>
      </w:pPr>
      <w:bookmarkStart w:id="4" w:name="_Toc20468458"/>
      <w:r w:rsidRPr="004512E7">
        <w:rPr>
          <w:rFonts w:ascii="Times New Roman" w:hAnsi="Times New Roman" w:cs="Times New Roman"/>
        </w:rPr>
        <w:t>C</w:t>
      </w:r>
      <w:r w:rsidR="00B350AF">
        <w:rPr>
          <w:rFonts w:ascii="Times New Roman" w:hAnsi="Times New Roman" w:cs="Times New Roman"/>
        </w:rPr>
        <w:t xml:space="preserve">omprehensive </w:t>
      </w:r>
      <w:r w:rsidRPr="004512E7">
        <w:rPr>
          <w:rFonts w:ascii="Times New Roman" w:hAnsi="Times New Roman" w:cs="Times New Roman"/>
        </w:rPr>
        <w:t>C</w:t>
      </w:r>
      <w:r w:rsidR="00B350AF">
        <w:rPr>
          <w:rFonts w:ascii="Times New Roman" w:hAnsi="Times New Roman" w:cs="Times New Roman"/>
        </w:rPr>
        <w:t xml:space="preserve">ase </w:t>
      </w:r>
      <w:r w:rsidRPr="004512E7">
        <w:rPr>
          <w:rFonts w:ascii="Times New Roman" w:hAnsi="Times New Roman" w:cs="Times New Roman"/>
        </w:rPr>
        <w:t>M</w:t>
      </w:r>
      <w:r w:rsidR="00B350AF">
        <w:rPr>
          <w:rFonts w:ascii="Times New Roman" w:hAnsi="Times New Roman" w:cs="Times New Roman"/>
        </w:rPr>
        <w:t xml:space="preserve">anagement and </w:t>
      </w:r>
      <w:r w:rsidRPr="004512E7">
        <w:rPr>
          <w:rFonts w:ascii="Times New Roman" w:hAnsi="Times New Roman" w:cs="Times New Roman"/>
        </w:rPr>
        <w:t>E</w:t>
      </w:r>
      <w:r w:rsidR="00B350AF">
        <w:rPr>
          <w:rFonts w:ascii="Times New Roman" w:hAnsi="Times New Roman" w:cs="Times New Roman"/>
        </w:rPr>
        <w:t xml:space="preserve">mployment </w:t>
      </w:r>
      <w:r w:rsidRPr="004512E7">
        <w:rPr>
          <w:rFonts w:ascii="Times New Roman" w:hAnsi="Times New Roman" w:cs="Times New Roman"/>
        </w:rPr>
        <w:t>P</w:t>
      </w:r>
      <w:r w:rsidR="00B350AF">
        <w:rPr>
          <w:rFonts w:ascii="Times New Roman" w:hAnsi="Times New Roman" w:cs="Times New Roman"/>
        </w:rPr>
        <w:t>rogram (CCMEP)</w:t>
      </w:r>
      <w:bookmarkEnd w:id="4"/>
    </w:p>
    <w:p w14:paraId="6630015A" w14:textId="77777777" w:rsidR="002765CD" w:rsidRDefault="00A03490" w:rsidP="00883191">
      <w:pPr>
        <w:jc w:val="both"/>
        <w:rPr>
          <w:rFonts w:ascii="Times New Roman" w:hAnsi="Times New Roman" w:cs="Times New Roman"/>
          <w:b/>
          <w:bCs/>
        </w:rPr>
      </w:pPr>
      <w:r w:rsidRPr="00A03490">
        <w:rPr>
          <w:rFonts w:ascii="Times New Roman" w:hAnsi="Times New Roman" w:cs="Times New Roman"/>
        </w:rPr>
        <w:t xml:space="preserve">CCMEP began July 1, 2016 as an innovative approach to addressing both youth underemployment and barriers to jobs or skills attainment. </w:t>
      </w:r>
      <w:r w:rsidR="002765CD" w:rsidRPr="002765CD">
        <w:rPr>
          <w:rFonts w:ascii="Times New Roman" w:hAnsi="Times New Roman" w:cs="Times New Roman"/>
        </w:rPr>
        <w:t xml:space="preserve">The program combines income support from Temporary Assistance for Needy Families (TANF) with job and skill training from the Workforce Innovation and Opportunity Act (WIOA). </w:t>
      </w:r>
      <w:r w:rsidR="002B0CE1">
        <w:rPr>
          <w:rFonts w:ascii="Times New Roman" w:hAnsi="Times New Roman" w:cs="Times New Roman"/>
        </w:rPr>
        <w:t xml:space="preserve"> CCMEP was implemented statewide, in all counties, by statute</w:t>
      </w:r>
      <w:r w:rsidR="00B350AF">
        <w:rPr>
          <w:rFonts w:ascii="Times New Roman" w:hAnsi="Times New Roman" w:cs="Times New Roman"/>
        </w:rPr>
        <w:t>.</w:t>
      </w:r>
      <w:r w:rsidR="002B0CE1">
        <w:rPr>
          <w:rStyle w:val="FootnoteReference"/>
          <w:rFonts w:ascii="Times New Roman" w:hAnsi="Times New Roman" w:cs="Times New Roman"/>
        </w:rPr>
        <w:footnoteReference w:id="2"/>
      </w:r>
      <w:r w:rsidR="002B0CE1">
        <w:rPr>
          <w:rFonts w:ascii="Times New Roman" w:hAnsi="Times New Roman" w:cs="Times New Roman"/>
        </w:rPr>
        <w:t xml:space="preserve">  </w:t>
      </w:r>
      <w:r w:rsidR="002765CD">
        <w:rPr>
          <w:rFonts w:ascii="Times New Roman" w:hAnsi="Times New Roman" w:cs="Times New Roman"/>
        </w:rPr>
        <w:t>The state allocated o</w:t>
      </w:r>
      <w:r w:rsidR="002765CD" w:rsidRPr="002765CD">
        <w:rPr>
          <w:rFonts w:ascii="Times New Roman" w:hAnsi="Times New Roman" w:cs="Times New Roman"/>
        </w:rPr>
        <w:t xml:space="preserve">ver $114 million in </w:t>
      </w:r>
      <w:r w:rsidR="002765CD">
        <w:rPr>
          <w:rFonts w:ascii="Times New Roman" w:hAnsi="Times New Roman" w:cs="Times New Roman"/>
        </w:rPr>
        <w:t>its</w:t>
      </w:r>
      <w:r w:rsidR="002765CD" w:rsidRPr="002765CD">
        <w:rPr>
          <w:rFonts w:ascii="Times New Roman" w:hAnsi="Times New Roman" w:cs="Times New Roman"/>
        </w:rPr>
        <w:t xml:space="preserve"> fiscal year 2017 budget </w:t>
      </w:r>
      <w:r w:rsidR="004512E7">
        <w:rPr>
          <w:rFonts w:ascii="Times New Roman" w:hAnsi="Times New Roman" w:cs="Times New Roman"/>
        </w:rPr>
        <w:t xml:space="preserve">(covering July 2016 – June 2017) </w:t>
      </w:r>
      <w:r w:rsidR="002765CD" w:rsidRPr="002765CD">
        <w:rPr>
          <w:rFonts w:ascii="Times New Roman" w:hAnsi="Times New Roman" w:cs="Times New Roman"/>
        </w:rPr>
        <w:t xml:space="preserve">to ensure </w:t>
      </w:r>
      <w:r w:rsidR="002765CD">
        <w:rPr>
          <w:rFonts w:ascii="Times New Roman" w:hAnsi="Times New Roman" w:cs="Times New Roman"/>
        </w:rPr>
        <w:t xml:space="preserve">the success of </w:t>
      </w:r>
      <w:r w:rsidR="002765CD" w:rsidRPr="002765CD">
        <w:rPr>
          <w:rFonts w:ascii="Times New Roman" w:hAnsi="Times New Roman" w:cs="Times New Roman"/>
        </w:rPr>
        <w:t>CCMEP</w:t>
      </w:r>
      <w:r w:rsidR="002765CD">
        <w:rPr>
          <w:rFonts w:ascii="Times New Roman" w:hAnsi="Times New Roman" w:cs="Times New Roman"/>
        </w:rPr>
        <w:t xml:space="preserve">. </w:t>
      </w:r>
      <w:r w:rsidR="002765CD" w:rsidRPr="002765CD">
        <w:rPr>
          <w:rFonts w:ascii="Times New Roman" w:hAnsi="Times New Roman" w:cs="Times New Roman"/>
          <w:b/>
          <w:bCs/>
        </w:rPr>
        <w:t xml:space="preserve"> </w:t>
      </w:r>
      <w:r w:rsidR="00B350AF">
        <w:rPr>
          <w:rFonts w:ascii="Times New Roman" w:hAnsi="Times New Roman" w:cs="Times New Roman"/>
          <w:bCs/>
        </w:rPr>
        <w:lastRenderedPageBreak/>
        <w:t>The experience</w:t>
      </w:r>
      <w:r w:rsidR="004512E7">
        <w:rPr>
          <w:rFonts w:ascii="Times New Roman" w:hAnsi="Times New Roman" w:cs="Times New Roman"/>
          <w:bCs/>
        </w:rPr>
        <w:t xml:space="preserve"> Ohio </w:t>
      </w:r>
      <w:r w:rsidR="00B350AF">
        <w:rPr>
          <w:rFonts w:ascii="Times New Roman" w:hAnsi="Times New Roman" w:cs="Times New Roman"/>
          <w:bCs/>
        </w:rPr>
        <w:t>had in</w:t>
      </w:r>
      <w:r w:rsidR="004512E7">
        <w:rPr>
          <w:rFonts w:ascii="Times New Roman" w:hAnsi="Times New Roman" w:cs="Times New Roman"/>
          <w:bCs/>
        </w:rPr>
        <w:t xml:space="preserve"> implement</w:t>
      </w:r>
      <w:r w:rsidR="00B350AF">
        <w:rPr>
          <w:rFonts w:ascii="Times New Roman" w:hAnsi="Times New Roman" w:cs="Times New Roman"/>
          <w:bCs/>
        </w:rPr>
        <w:t>ing</w:t>
      </w:r>
      <w:r w:rsidR="004512E7" w:rsidRPr="004512E7">
        <w:rPr>
          <w:rFonts w:ascii="Times New Roman" w:hAnsi="Times New Roman" w:cs="Times New Roman"/>
          <w:bCs/>
        </w:rPr>
        <w:t xml:space="preserve"> CCMEP (and Wage Pathways) has implications for how we evaluate the program</w:t>
      </w:r>
      <w:r w:rsidR="004512E7">
        <w:rPr>
          <w:rFonts w:ascii="Times New Roman" w:hAnsi="Times New Roman" w:cs="Times New Roman"/>
          <w:bCs/>
        </w:rPr>
        <w:t>, so we start with a discussion of the larger CCMEP program and its implementation.</w:t>
      </w:r>
      <w:r w:rsidR="004512E7">
        <w:rPr>
          <w:rFonts w:ascii="Times New Roman" w:hAnsi="Times New Roman" w:cs="Times New Roman"/>
          <w:b/>
          <w:bCs/>
        </w:rPr>
        <w:t xml:space="preserve">  </w:t>
      </w:r>
    </w:p>
    <w:p w14:paraId="5AB0B675" w14:textId="569314BB" w:rsidR="008A31D2" w:rsidRDefault="004512E7" w:rsidP="00883191">
      <w:pPr>
        <w:jc w:val="both"/>
        <w:rPr>
          <w:rFonts w:ascii="Times New Roman" w:hAnsi="Times New Roman" w:cs="Times New Roman"/>
          <w:bCs/>
        </w:rPr>
      </w:pPr>
      <w:r w:rsidRPr="004512E7">
        <w:rPr>
          <w:rFonts w:ascii="Times New Roman" w:hAnsi="Times New Roman" w:cs="Times New Roman"/>
          <w:bCs/>
        </w:rPr>
        <w:t>While many of the services</w:t>
      </w:r>
      <w:r>
        <w:rPr>
          <w:rFonts w:ascii="Times New Roman" w:hAnsi="Times New Roman" w:cs="Times New Roman"/>
          <w:bCs/>
        </w:rPr>
        <w:t xml:space="preserve"> the state and counties deliver to youths remain the same, more than half the counties saw the patterns of service delivery change.  The Workforce Innovation and Opportunity Act </w:t>
      </w:r>
      <w:r w:rsidR="00B350AF">
        <w:rPr>
          <w:rFonts w:ascii="Times New Roman" w:hAnsi="Times New Roman" w:cs="Times New Roman"/>
          <w:bCs/>
        </w:rPr>
        <w:t xml:space="preserve">(WIOA) </w:t>
      </w:r>
      <w:r>
        <w:rPr>
          <w:rFonts w:ascii="Times New Roman" w:hAnsi="Times New Roman" w:cs="Times New Roman"/>
          <w:bCs/>
        </w:rPr>
        <w:t xml:space="preserve">provides funding to assist </w:t>
      </w:r>
      <w:r w:rsidR="000C487F">
        <w:rPr>
          <w:rFonts w:ascii="Times New Roman" w:hAnsi="Times New Roman" w:cs="Times New Roman"/>
          <w:bCs/>
        </w:rPr>
        <w:t xml:space="preserve">youth and </w:t>
      </w:r>
      <w:r>
        <w:rPr>
          <w:rFonts w:ascii="Times New Roman" w:hAnsi="Times New Roman" w:cs="Times New Roman"/>
          <w:bCs/>
        </w:rPr>
        <w:t>adults 1</w:t>
      </w:r>
      <w:r w:rsidR="000C487F">
        <w:rPr>
          <w:rFonts w:ascii="Times New Roman" w:hAnsi="Times New Roman" w:cs="Times New Roman"/>
          <w:bCs/>
        </w:rPr>
        <w:t>4</w:t>
      </w:r>
      <w:r>
        <w:rPr>
          <w:rFonts w:ascii="Times New Roman" w:hAnsi="Times New Roman" w:cs="Times New Roman"/>
          <w:bCs/>
        </w:rPr>
        <w:t xml:space="preserve"> and over </w:t>
      </w:r>
      <w:r w:rsidR="000C487F">
        <w:rPr>
          <w:rFonts w:ascii="Times New Roman" w:hAnsi="Times New Roman" w:cs="Times New Roman"/>
          <w:bCs/>
        </w:rPr>
        <w:t>as well as</w:t>
      </w:r>
      <w:r>
        <w:rPr>
          <w:rFonts w:ascii="Times New Roman" w:hAnsi="Times New Roman" w:cs="Times New Roman"/>
          <w:bCs/>
        </w:rPr>
        <w:t xml:space="preserve"> dislocated workers to gain training for entry or reentry to the workforce as well as career services.   In addition, counties use funds from the Temporary Assistance for Needy Families (TANF) program to support CCMEP.  CCMEP allows counties to combine these two funding streams and integrate the </w:t>
      </w:r>
      <w:r w:rsidR="008A31D2">
        <w:rPr>
          <w:rFonts w:ascii="Times New Roman" w:hAnsi="Times New Roman" w:cs="Times New Roman"/>
          <w:bCs/>
        </w:rPr>
        <w:t xml:space="preserve">collective </w:t>
      </w:r>
      <w:r>
        <w:rPr>
          <w:rFonts w:ascii="Times New Roman" w:hAnsi="Times New Roman" w:cs="Times New Roman"/>
          <w:bCs/>
        </w:rPr>
        <w:t xml:space="preserve">training, career services and support activities into an integrated approach </w:t>
      </w:r>
      <w:r w:rsidR="008A31D2">
        <w:rPr>
          <w:rFonts w:ascii="Times New Roman" w:hAnsi="Times New Roman" w:cs="Times New Roman"/>
          <w:bCs/>
        </w:rPr>
        <w:t xml:space="preserve">for </w:t>
      </w:r>
      <w:r>
        <w:rPr>
          <w:rFonts w:ascii="Times New Roman" w:hAnsi="Times New Roman" w:cs="Times New Roman"/>
          <w:bCs/>
        </w:rPr>
        <w:t>helping eligible youth 1</w:t>
      </w:r>
      <w:r w:rsidR="0048351A">
        <w:rPr>
          <w:rFonts w:ascii="Times New Roman" w:hAnsi="Times New Roman" w:cs="Times New Roman"/>
          <w:bCs/>
        </w:rPr>
        <w:t>6</w:t>
      </w:r>
      <w:r>
        <w:rPr>
          <w:rFonts w:ascii="Times New Roman" w:hAnsi="Times New Roman" w:cs="Times New Roman"/>
          <w:bCs/>
        </w:rPr>
        <w:t xml:space="preserve">-24 accrue the skills and training they need to find and hold jobs.  </w:t>
      </w:r>
      <w:r w:rsidR="0048351A">
        <w:rPr>
          <w:rFonts w:ascii="Times New Roman" w:hAnsi="Times New Roman" w:cs="Times New Roman"/>
          <w:bCs/>
        </w:rPr>
        <w:t xml:space="preserve">In the 2017-2018 program year, CCMEP also served youths 14-15, but Wage Pathways is only for youths 18-24.  </w:t>
      </w:r>
      <w:r>
        <w:rPr>
          <w:rFonts w:ascii="Times New Roman" w:hAnsi="Times New Roman" w:cs="Times New Roman"/>
          <w:bCs/>
        </w:rPr>
        <w:t xml:space="preserve">Simultaneously, the integrated CCMEP approach provides other support recipients </w:t>
      </w:r>
      <w:r w:rsidR="008A31D2">
        <w:rPr>
          <w:rFonts w:ascii="Times New Roman" w:hAnsi="Times New Roman" w:cs="Times New Roman"/>
          <w:bCs/>
        </w:rPr>
        <w:t xml:space="preserve">may </w:t>
      </w:r>
      <w:r>
        <w:rPr>
          <w:rFonts w:ascii="Times New Roman" w:hAnsi="Times New Roman" w:cs="Times New Roman"/>
          <w:bCs/>
        </w:rPr>
        <w:t>need to deal with the problems of everyday life</w:t>
      </w:r>
      <w:r w:rsidR="008A31D2">
        <w:rPr>
          <w:rFonts w:ascii="Times New Roman" w:hAnsi="Times New Roman" w:cs="Times New Roman"/>
          <w:bCs/>
        </w:rPr>
        <w:t>,</w:t>
      </w:r>
      <w:r>
        <w:rPr>
          <w:rFonts w:ascii="Times New Roman" w:hAnsi="Times New Roman" w:cs="Times New Roman"/>
          <w:bCs/>
        </w:rPr>
        <w:t xml:space="preserve"> lest </w:t>
      </w:r>
      <w:r w:rsidR="00B350AF">
        <w:rPr>
          <w:rFonts w:ascii="Times New Roman" w:hAnsi="Times New Roman" w:cs="Times New Roman"/>
          <w:bCs/>
        </w:rPr>
        <w:t>those</w:t>
      </w:r>
      <w:r>
        <w:rPr>
          <w:rFonts w:ascii="Times New Roman" w:hAnsi="Times New Roman" w:cs="Times New Roman"/>
          <w:bCs/>
        </w:rPr>
        <w:t xml:space="preserve"> problems</w:t>
      </w:r>
      <w:r w:rsidR="008A31D2">
        <w:rPr>
          <w:rFonts w:ascii="Times New Roman" w:hAnsi="Times New Roman" w:cs="Times New Roman"/>
          <w:bCs/>
        </w:rPr>
        <w:t>—housing, transportation, medical, or other basic needs--</w:t>
      </w:r>
      <w:r>
        <w:rPr>
          <w:rFonts w:ascii="Times New Roman" w:hAnsi="Times New Roman" w:cs="Times New Roman"/>
          <w:bCs/>
        </w:rPr>
        <w:t>prevent them from holding down a job</w:t>
      </w:r>
      <w:r w:rsidR="008A31D2">
        <w:rPr>
          <w:rFonts w:ascii="Times New Roman" w:hAnsi="Times New Roman" w:cs="Times New Roman"/>
          <w:bCs/>
        </w:rPr>
        <w:t>.</w:t>
      </w:r>
      <w:r>
        <w:rPr>
          <w:rFonts w:ascii="Times New Roman" w:hAnsi="Times New Roman" w:cs="Times New Roman"/>
          <w:bCs/>
        </w:rPr>
        <w:t xml:space="preserve"> </w:t>
      </w:r>
    </w:p>
    <w:p w14:paraId="48547B66" w14:textId="23644FEB" w:rsidR="004512E7" w:rsidRDefault="00933353" w:rsidP="00883191">
      <w:pPr>
        <w:jc w:val="both"/>
        <w:rPr>
          <w:rFonts w:ascii="Times New Roman" w:hAnsi="Times New Roman" w:cs="Times New Roman"/>
          <w:bCs/>
        </w:rPr>
      </w:pPr>
      <w:r>
        <w:rPr>
          <w:rFonts w:ascii="Times New Roman" w:hAnsi="Times New Roman" w:cs="Times New Roman"/>
          <w:bCs/>
        </w:rPr>
        <w:t xml:space="preserve">Under </w:t>
      </w:r>
      <w:r w:rsidR="004512E7">
        <w:rPr>
          <w:rFonts w:ascii="Times New Roman" w:hAnsi="Times New Roman" w:cs="Times New Roman"/>
          <w:bCs/>
        </w:rPr>
        <w:t>CCMEP</w:t>
      </w:r>
      <w:r>
        <w:rPr>
          <w:rFonts w:ascii="Times New Roman" w:hAnsi="Times New Roman" w:cs="Times New Roman"/>
          <w:bCs/>
        </w:rPr>
        <w:t>,</w:t>
      </w:r>
      <w:r w:rsidR="00720091">
        <w:rPr>
          <w:rFonts w:ascii="Times New Roman" w:hAnsi="Times New Roman" w:cs="Times New Roman"/>
          <w:bCs/>
        </w:rPr>
        <w:t xml:space="preserve"> </w:t>
      </w:r>
      <w:r w:rsidR="004512E7">
        <w:rPr>
          <w:rFonts w:ascii="Times New Roman" w:hAnsi="Times New Roman" w:cs="Times New Roman"/>
          <w:bCs/>
        </w:rPr>
        <w:t>counties need to deliver wrap-around services under WIOA, TANF and the Supplemental Nutrition Assistance Program (SNAP)</w:t>
      </w:r>
      <w:r>
        <w:rPr>
          <w:rFonts w:ascii="Times New Roman" w:hAnsi="Times New Roman" w:cs="Times New Roman"/>
          <w:bCs/>
        </w:rPr>
        <w:t xml:space="preserve"> in a holistic manner</w:t>
      </w:r>
      <w:r w:rsidR="004512E7">
        <w:rPr>
          <w:rFonts w:ascii="Times New Roman" w:hAnsi="Times New Roman" w:cs="Times New Roman"/>
          <w:bCs/>
        </w:rPr>
        <w:t xml:space="preserve"> rather than piecemeal</w:t>
      </w:r>
      <w:r w:rsidR="006B36DA">
        <w:rPr>
          <w:rStyle w:val="FootnoteReference"/>
          <w:rFonts w:ascii="Times New Roman" w:hAnsi="Times New Roman" w:cs="Times New Roman"/>
          <w:bCs/>
        </w:rPr>
        <w:footnoteReference w:id="3"/>
      </w:r>
      <w:r w:rsidR="004512E7">
        <w:rPr>
          <w:rFonts w:ascii="Times New Roman" w:hAnsi="Times New Roman" w:cs="Times New Roman"/>
          <w:bCs/>
        </w:rPr>
        <w:t xml:space="preserve">.  </w:t>
      </w:r>
      <w:r w:rsidR="002765CD" w:rsidRPr="004E0C66">
        <w:rPr>
          <w:rFonts w:ascii="Times New Roman" w:hAnsi="Times New Roman" w:cs="Times New Roman"/>
          <w:bCs/>
        </w:rPr>
        <w:t xml:space="preserve">While many states centrally administer their </w:t>
      </w:r>
      <w:r w:rsidR="004E0C66" w:rsidRPr="004E0C66">
        <w:rPr>
          <w:rFonts w:ascii="Times New Roman" w:hAnsi="Times New Roman" w:cs="Times New Roman"/>
          <w:bCs/>
        </w:rPr>
        <w:t xml:space="preserve">programs, Ohio’s counties </w:t>
      </w:r>
      <w:r w:rsidR="004512E7">
        <w:rPr>
          <w:rFonts w:ascii="Times New Roman" w:hAnsi="Times New Roman" w:cs="Times New Roman"/>
          <w:bCs/>
        </w:rPr>
        <w:t xml:space="preserve">(and groups of counties for some programs like WIOA) </w:t>
      </w:r>
      <w:r w:rsidR="004E0C66" w:rsidRPr="004E0C66">
        <w:rPr>
          <w:rFonts w:ascii="Times New Roman" w:hAnsi="Times New Roman" w:cs="Times New Roman"/>
          <w:bCs/>
        </w:rPr>
        <w:t>play a significant role in administering</w:t>
      </w:r>
      <w:r w:rsidR="004512E7">
        <w:rPr>
          <w:rFonts w:ascii="Times New Roman" w:hAnsi="Times New Roman" w:cs="Times New Roman"/>
          <w:bCs/>
        </w:rPr>
        <w:t xml:space="preserve"> these programs</w:t>
      </w:r>
      <w:r w:rsidR="004E0C66" w:rsidRPr="004E0C66">
        <w:rPr>
          <w:rFonts w:ascii="Times New Roman" w:hAnsi="Times New Roman" w:cs="Times New Roman"/>
          <w:bCs/>
        </w:rPr>
        <w:t xml:space="preserve">.  </w:t>
      </w:r>
      <w:r w:rsidR="004512E7">
        <w:rPr>
          <w:rFonts w:ascii="Times New Roman" w:hAnsi="Times New Roman" w:cs="Times New Roman"/>
          <w:bCs/>
        </w:rPr>
        <w:t>With 88 counties</w:t>
      </w:r>
      <w:r>
        <w:rPr>
          <w:rFonts w:ascii="Times New Roman" w:hAnsi="Times New Roman" w:cs="Times New Roman"/>
          <w:bCs/>
        </w:rPr>
        <w:t xml:space="preserve"> in Ohio</w:t>
      </w:r>
      <w:r w:rsidR="004512E7">
        <w:rPr>
          <w:rFonts w:ascii="Times New Roman" w:hAnsi="Times New Roman" w:cs="Times New Roman"/>
          <w:bCs/>
        </w:rPr>
        <w:t xml:space="preserve">, the largest counties have almost 100 times the population of the smallest, and this scale difference </w:t>
      </w:r>
      <w:r>
        <w:rPr>
          <w:rFonts w:ascii="Times New Roman" w:hAnsi="Times New Roman" w:cs="Times New Roman"/>
          <w:bCs/>
        </w:rPr>
        <w:t xml:space="preserve">necessitates </w:t>
      </w:r>
      <w:r w:rsidR="004512E7">
        <w:rPr>
          <w:rFonts w:ascii="Times New Roman" w:hAnsi="Times New Roman" w:cs="Times New Roman"/>
          <w:bCs/>
        </w:rPr>
        <w:t>different service delivery models among the counties.</w:t>
      </w:r>
    </w:p>
    <w:p w14:paraId="6C0ECA2C" w14:textId="00B0A91A" w:rsidR="00530B2E" w:rsidRPr="004512E7" w:rsidRDefault="00902377" w:rsidP="00883191">
      <w:pPr>
        <w:jc w:val="both"/>
        <w:rPr>
          <w:rFonts w:ascii="Times New Roman" w:hAnsi="Times New Roman" w:cs="Times New Roman"/>
        </w:rPr>
      </w:pPr>
      <w:r>
        <w:rPr>
          <w:rFonts w:ascii="Times New Roman" w:hAnsi="Times New Roman" w:cs="Times New Roman"/>
        </w:rPr>
        <w:t xml:space="preserve">In addition to evaluating </w:t>
      </w:r>
      <w:r w:rsidR="006B36DA">
        <w:rPr>
          <w:rFonts w:ascii="Times New Roman" w:hAnsi="Times New Roman" w:cs="Times New Roman"/>
        </w:rPr>
        <w:t>Wage Pathways</w:t>
      </w:r>
      <w:r w:rsidR="004512E7">
        <w:rPr>
          <w:rFonts w:ascii="Times New Roman" w:hAnsi="Times New Roman" w:cs="Times New Roman"/>
        </w:rPr>
        <w:t>, the larger team</w:t>
      </w:r>
      <w:r w:rsidR="004512E7">
        <w:rPr>
          <w:rStyle w:val="FootnoteReference"/>
          <w:rFonts w:ascii="Times New Roman" w:hAnsi="Times New Roman" w:cs="Times New Roman"/>
        </w:rPr>
        <w:footnoteReference w:id="4"/>
      </w:r>
      <w:r w:rsidR="004512E7">
        <w:rPr>
          <w:rFonts w:ascii="Times New Roman" w:hAnsi="Times New Roman" w:cs="Times New Roman"/>
        </w:rPr>
        <w:t xml:space="preserve"> at Ohio State </w:t>
      </w:r>
      <w:r w:rsidR="004816F6">
        <w:rPr>
          <w:rFonts w:ascii="Times New Roman" w:hAnsi="Times New Roman" w:cs="Times New Roman"/>
        </w:rPr>
        <w:t>will</w:t>
      </w:r>
      <w:r w:rsidR="004512E7">
        <w:rPr>
          <w:rFonts w:ascii="Times New Roman" w:hAnsi="Times New Roman" w:cs="Times New Roman"/>
        </w:rPr>
        <w:t xml:space="preserve"> also evaluat</w:t>
      </w:r>
      <w:r w:rsidR="004816F6">
        <w:rPr>
          <w:rFonts w:ascii="Times New Roman" w:hAnsi="Times New Roman" w:cs="Times New Roman"/>
        </w:rPr>
        <w:t>e</w:t>
      </w:r>
      <w:r w:rsidR="004512E7">
        <w:rPr>
          <w:rFonts w:ascii="Times New Roman" w:hAnsi="Times New Roman" w:cs="Times New Roman"/>
        </w:rPr>
        <w:t xml:space="preserve"> CCMEP</w:t>
      </w:r>
      <w:r w:rsidR="007F3681">
        <w:rPr>
          <w:rFonts w:ascii="Times New Roman" w:hAnsi="Times New Roman" w:cs="Times New Roman"/>
        </w:rPr>
        <w:t xml:space="preserve"> through a project with ODJFS, funded by the Laura and John Arnold Foundation</w:t>
      </w:r>
      <w:r w:rsidR="004512E7">
        <w:rPr>
          <w:rFonts w:ascii="Times New Roman" w:hAnsi="Times New Roman" w:cs="Times New Roman"/>
        </w:rPr>
        <w:t xml:space="preserve">.  </w:t>
      </w:r>
      <w:r w:rsidR="004816F6">
        <w:rPr>
          <w:rFonts w:ascii="Times New Roman" w:hAnsi="Times New Roman" w:cs="Times New Roman"/>
        </w:rPr>
        <w:t xml:space="preserve">The </w:t>
      </w:r>
      <w:r w:rsidR="004512E7">
        <w:rPr>
          <w:rFonts w:ascii="Times New Roman" w:hAnsi="Times New Roman" w:cs="Times New Roman"/>
        </w:rPr>
        <w:t xml:space="preserve">CCMEP evaluation </w:t>
      </w:r>
      <w:r w:rsidR="004816F6">
        <w:rPr>
          <w:rFonts w:ascii="Times New Roman" w:hAnsi="Times New Roman" w:cs="Times New Roman"/>
        </w:rPr>
        <w:t>includes</w:t>
      </w:r>
      <w:r w:rsidR="004512E7">
        <w:rPr>
          <w:rFonts w:ascii="Times New Roman" w:hAnsi="Times New Roman" w:cs="Times New Roman"/>
        </w:rPr>
        <w:t xml:space="preserve"> an </w:t>
      </w:r>
      <w:r w:rsidR="00A03490" w:rsidRPr="00A03490">
        <w:rPr>
          <w:rFonts w:ascii="Times New Roman" w:hAnsi="Times New Roman" w:cs="Times New Roman"/>
        </w:rPr>
        <w:t>Implementation Study</w:t>
      </w:r>
      <w:r w:rsidR="004512E7">
        <w:rPr>
          <w:rStyle w:val="FootnoteReference"/>
          <w:rFonts w:ascii="Times New Roman" w:hAnsi="Times New Roman" w:cs="Times New Roman"/>
          <w:bCs/>
        </w:rPr>
        <w:footnoteReference w:id="5"/>
      </w:r>
      <w:r w:rsidR="00A03490" w:rsidRPr="00A03490">
        <w:rPr>
          <w:rFonts w:ascii="Times New Roman" w:hAnsi="Times New Roman" w:cs="Times New Roman"/>
        </w:rPr>
        <w:t xml:space="preserve"> to identify CCMEP implementation practices used by </w:t>
      </w:r>
      <w:r w:rsidR="004512E7">
        <w:rPr>
          <w:rFonts w:ascii="Times New Roman" w:hAnsi="Times New Roman" w:cs="Times New Roman"/>
        </w:rPr>
        <w:t xml:space="preserve">county and regional </w:t>
      </w:r>
      <w:r w:rsidR="00A03490" w:rsidRPr="00A03490">
        <w:rPr>
          <w:rFonts w:ascii="Times New Roman" w:hAnsi="Times New Roman" w:cs="Times New Roman"/>
        </w:rPr>
        <w:t xml:space="preserve">agencies in year one. To determine how </w:t>
      </w:r>
      <w:r w:rsidR="004512E7">
        <w:rPr>
          <w:rFonts w:ascii="Times New Roman" w:hAnsi="Times New Roman" w:cs="Times New Roman"/>
        </w:rPr>
        <w:t xml:space="preserve">this </w:t>
      </w:r>
      <w:r w:rsidR="00A03490" w:rsidRPr="00A03490">
        <w:rPr>
          <w:rFonts w:ascii="Times New Roman" w:hAnsi="Times New Roman" w:cs="Times New Roman"/>
        </w:rPr>
        <w:t xml:space="preserve">implementation worked, the </w:t>
      </w:r>
      <w:r w:rsidR="007C688C">
        <w:rPr>
          <w:rFonts w:ascii="Times New Roman" w:hAnsi="Times New Roman" w:cs="Times New Roman"/>
        </w:rPr>
        <w:t>Ohio Education Research Center (</w:t>
      </w:r>
      <w:r w:rsidR="00A03490" w:rsidRPr="00A03490">
        <w:rPr>
          <w:rFonts w:ascii="Times New Roman" w:hAnsi="Times New Roman" w:cs="Times New Roman"/>
        </w:rPr>
        <w:t>OERC</w:t>
      </w:r>
      <w:r w:rsidR="007C688C">
        <w:rPr>
          <w:rFonts w:ascii="Times New Roman" w:hAnsi="Times New Roman" w:cs="Times New Roman"/>
        </w:rPr>
        <w:t>)</w:t>
      </w:r>
      <w:r w:rsidR="00A03490" w:rsidRPr="00A03490">
        <w:rPr>
          <w:rFonts w:ascii="Times New Roman" w:hAnsi="Times New Roman" w:cs="Times New Roman"/>
        </w:rPr>
        <w:t xml:space="preserve"> conducted a two</w:t>
      </w:r>
      <w:r w:rsidR="006C0B95">
        <w:rPr>
          <w:rFonts w:ascii="Times New Roman" w:hAnsi="Times New Roman" w:cs="Times New Roman"/>
        </w:rPr>
        <w:t>-</w:t>
      </w:r>
      <w:r w:rsidR="00A03490" w:rsidRPr="00A03490">
        <w:rPr>
          <w:rFonts w:ascii="Times New Roman" w:hAnsi="Times New Roman" w:cs="Times New Roman"/>
        </w:rPr>
        <w:t xml:space="preserve">part study regarding the practices employed at the county level. </w:t>
      </w:r>
      <w:r w:rsidR="004512E7">
        <w:rPr>
          <w:rFonts w:ascii="Times New Roman" w:hAnsi="Times New Roman" w:cs="Times New Roman"/>
        </w:rPr>
        <w:t xml:space="preserve"> The first p</w:t>
      </w:r>
      <w:r w:rsidR="00A03490" w:rsidRPr="00A03490">
        <w:rPr>
          <w:rFonts w:ascii="Times New Roman" w:hAnsi="Times New Roman" w:cs="Times New Roman"/>
        </w:rPr>
        <w:t>art used an online survey to collect data from County Department</w:t>
      </w:r>
      <w:r w:rsidR="006C0B95">
        <w:rPr>
          <w:rFonts w:ascii="Times New Roman" w:hAnsi="Times New Roman" w:cs="Times New Roman"/>
        </w:rPr>
        <w:t>s</w:t>
      </w:r>
      <w:r w:rsidR="00A03490" w:rsidRPr="00A03490">
        <w:rPr>
          <w:rFonts w:ascii="Times New Roman" w:hAnsi="Times New Roman" w:cs="Times New Roman"/>
        </w:rPr>
        <w:t xml:space="preserve"> of Job and Family Services, Workforce Development Agencies and Workforce Development Boards throughout the state. </w:t>
      </w:r>
      <w:r w:rsidR="004512E7">
        <w:rPr>
          <w:rFonts w:ascii="Times New Roman" w:hAnsi="Times New Roman" w:cs="Times New Roman"/>
        </w:rPr>
        <w:t xml:space="preserve"> The second part relied on </w:t>
      </w:r>
      <w:r w:rsidR="00A03490" w:rsidRPr="00A03490">
        <w:rPr>
          <w:rFonts w:ascii="Times New Roman" w:hAnsi="Times New Roman" w:cs="Times New Roman"/>
        </w:rPr>
        <w:t xml:space="preserve">in-depth focus groups with eleven counties. </w:t>
      </w:r>
    </w:p>
    <w:p w14:paraId="0E6EFD30" w14:textId="77777777" w:rsidR="004512E7" w:rsidRDefault="004512E7" w:rsidP="00883191">
      <w:pPr>
        <w:jc w:val="both"/>
        <w:rPr>
          <w:rFonts w:ascii="Times New Roman" w:hAnsi="Times New Roman" w:cs="Times New Roman"/>
        </w:rPr>
      </w:pPr>
      <w:r>
        <w:rPr>
          <w:rFonts w:ascii="Times New Roman" w:hAnsi="Times New Roman" w:cs="Times New Roman"/>
        </w:rPr>
        <w:t xml:space="preserve"> Did the advent of CCMEP change the way counties, workforce development agencies and workforce development boards interacted with their clientele?  At the outset, about half the counties and workforce development organizations reviewed their practices in terms of their appropriateness for the new CCMEP approach.  In about 40% of the counties, policies for serving youth changed to either a great or very great extent.  This resulted in structural changes to the agency in about 25% of the cases, and a great or very great change in the operational approach to serving youth in about a third of the counties and over half of the workforce development boards or agencies.  </w:t>
      </w:r>
    </w:p>
    <w:p w14:paraId="52F3D003" w14:textId="77777777" w:rsidR="004512E7" w:rsidRDefault="004512E7" w:rsidP="00883191">
      <w:pPr>
        <w:jc w:val="both"/>
        <w:rPr>
          <w:rFonts w:ascii="Times New Roman" w:hAnsi="Times New Roman" w:cs="Times New Roman"/>
        </w:rPr>
      </w:pPr>
      <w:r>
        <w:rPr>
          <w:rFonts w:ascii="Times New Roman" w:hAnsi="Times New Roman" w:cs="Times New Roman"/>
        </w:rPr>
        <w:lastRenderedPageBreak/>
        <w:t xml:space="preserve">In 75% of the counties and nearly all the workforce development organizations, </w:t>
      </w:r>
      <w:r w:rsidR="006C0B95">
        <w:rPr>
          <w:rFonts w:ascii="Times New Roman" w:hAnsi="Times New Roman" w:cs="Times New Roman"/>
        </w:rPr>
        <w:t xml:space="preserve">officials </w:t>
      </w:r>
      <w:r>
        <w:rPr>
          <w:rFonts w:ascii="Times New Roman" w:hAnsi="Times New Roman" w:cs="Times New Roman"/>
        </w:rPr>
        <w:t>changed how they used the traditional workforce experience program to assign participants individualized activities based on a comprehensive assessment of their situation.  This evaluation of participant situations used an extensive questionnaire administered to clients who presented themselves for possible receipt of CCMEP services.  The evaluation has access to these questionnaires, which we refer to as the CCMEP enrollment data.  Based on information received at intake</w:t>
      </w:r>
      <w:r w:rsidR="00B350AF">
        <w:rPr>
          <w:rFonts w:ascii="Times New Roman" w:hAnsi="Times New Roman" w:cs="Times New Roman"/>
        </w:rPr>
        <w:t>,</w:t>
      </w:r>
      <w:r>
        <w:rPr>
          <w:rFonts w:ascii="Times New Roman" w:hAnsi="Times New Roman" w:cs="Times New Roman"/>
        </w:rPr>
        <w:t xml:space="preserve"> over 80% of the counties provide youth with paid workforce experience opportunities funded through TANF subsidized employment.</w:t>
      </w:r>
    </w:p>
    <w:p w14:paraId="6E7FD80E" w14:textId="77777777" w:rsidR="004512E7" w:rsidRDefault="00BB70CA" w:rsidP="00883191">
      <w:pPr>
        <w:jc w:val="both"/>
        <w:rPr>
          <w:rFonts w:ascii="Times New Roman" w:hAnsi="Times New Roman" w:cs="Times New Roman"/>
        </w:rPr>
      </w:pPr>
      <w:r>
        <w:rPr>
          <w:rFonts w:ascii="Times New Roman" w:hAnsi="Times New Roman" w:cs="Times New Roman"/>
        </w:rPr>
        <w:t>CCMEP i</w:t>
      </w:r>
      <w:r w:rsidR="004512E7">
        <w:rPr>
          <w:rFonts w:ascii="Times New Roman" w:hAnsi="Times New Roman" w:cs="Times New Roman"/>
        </w:rPr>
        <w:t>mplementation saw some rough spots.  The statewide data system needed revision</w:t>
      </w:r>
      <w:r>
        <w:rPr>
          <w:rFonts w:ascii="Times New Roman" w:hAnsi="Times New Roman" w:cs="Times New Roman"/>
        </w:rPr>
        <w:t>.  I</w:t>
      </w:r>
      <w:r w:rsidR="004512E7">
        <w:rPr>
          <w:rFonts w:ascii="Times New Roman" w:hAnsi="Times New Roman" w:cs="Times New Roman"/>
        </w:rPr>
        <w:t xml:space="preserve">ntegrating work activities undertaken within CCMEP with the reporting system </w:t>
      </w:r>
      <w:r w:rsidR="004816F6">
        <w:rPr>
          <w:rFonts w:ascii="Times New Roman" w:hAnsi="Times New Roman" w:cs="Times New Roman"/>
        </w:rPr>
        <w:t>created difficulties</w:t>
      </w:r>
      <w:r w:rsidR="004512E7">
        <w:rPr>
          <w:rFonts w:ascii="Times New Roman" w:hAnsi="Times New Roman" w:cs="Times New Roman"/>
        </w:rPr>
        <w:t xml:space="preserve"> for over half the counties.  Half the counties had problems recruiting youth for the program, although </w:t>
      </w:r>
      <w:r w:rsidR="004816F6">
        <w:rPr>
          <w:rFonts w:ascii="Times New Roman" w:hAnsi="Times New Roman" w:cs="Times New Roman"/>
        </w:rPr>
        <w:t>counties could more easily recruit</w:t>
      </w:r>
      <w:r w:rsidR="004512E7">
        <w:rPr>
          <w:rFonts w:ascii="Times New Roman" w:hAnsi="Times New Roman" w:cs="Times New Roman"/>
        </w:rPr>
        <w:t xml:space="preserve"> WIOA eligible youth than TANF youth.  Early on, counties also had trouble getting state guidance on WIOA, TANF and Ohio Works First </w:t>
      </w:r>
      <w:r w:rsidR="008B29B2">
        <w:rPr>
          <w:rFonts w:ascii="Times New Roman" w:hAnsi="Times New Roman" w:cs="Times New Roman"/>
        </w:rPr>
        <w:t xml:space="preserve">(OWF) </w:t>
      </w:r>
      <w:r w:rsidR="004512E7">
        <w:rPr>
          <w:rFonts w:ascii="Times New Roman" w:hAnsi="Times New Roman" w:cs="Times New Roman"/>
        </w:rPr>
        <w:t xml:space="preserve">program guidelines.  Focus groups revealed some </w:t>
      </w:r>
      <w:r w:rsidR="00334472">
        <w:rPr>
          <w:rFonts w:ascii="Times New Roman" w:hAnsi="Times New Roman" w:cs="Times New Roman"/>
        </w:rPr>
        <w:t xml:space="preserve">counties </w:t>
      </w:r>
      <w:r w:rsidR="004512E7">
        <w:rPr>
          <w:rFonts w:ascii="Times New Roman" w:hAnsi="Times New Roman" w:cs="Times New Roman"/>
        </w:rPr>
        <w:t>had problems with maintaining seamless case management, writing policies</w:t>
      </w:r>
      <w:r>
        <w:rPr>
          <w:rFonts w:ascii="Times New Roman" w:hAnsi="Times New Roman" w:cs="Times New Roman"/>
        </w:rPr>
        <w:t>,</w:t>
      </w:r>
      <w:r w:rsidR="004512E7">
        <w:rPr>
          <w:rFonts w:ascii="Times New Roman" w:hAnsi="Times New Roman" w:cs="Times New Roman"/>
        </w:rPr>
        <w:t xml:space="preserve"> and implementing policies and guidelines at the local level.  Counties had better experiences in their ability to meet the needs of CCMEP participants and </w:t>
      </w:r>
      <w:r w:rsidR="00EE3CB8">
        <w:rPr>
          <w:rFonts w:ascii="Times New Roman" w:hAnsi="Times New Roman" w:cs="Times New Roman"/>
        </w:rPr>
        <w:t xml:space="preserve">only </w:t>
      </w:r>
      <w:r w:rsidR="004512E7">
        <w:rPr>
          <w:rFonts w:ascii="Times New Roman" w:hAnsi="Times New Roman" w:cs="Times New Roman"/>
        </w:rPr>
        <w:t>about 25% reported staff motivation was a moderate or great challenge.</w:t>
      </w:r>
    </w:p>
    <w:p w14:paraId="3990908A" w14:textId="12A9406C" w:rsidR="004512E7" w:rsidRDefault="004512E7" w:rsidP="00883191">
      <w:pPr>
        <w:jc w:val="both"/>
        <w:rPr>
          <w:rFonts w:ascii="Times New Roman" w:hAnsi="Times New Roman" w:cs="Times New Roman"/>
        </w:rPr>
      </w:pPr>
      <w:r>
        <w:rPr>
          <w:rFonts w:ascii="Times New Roman" w:hAnsi="Times New Roman" w:cs="Times New Roman"/>
        </w:rPr>
        <w:t xml:space="preserve">Survey and focus group information reveals a complex and sometimes difficult process of implementing the CCMEP program.  With Wage Pathways being an experimental component of CCMEP, one would reasonably expect implementation difficulties with CCMEP would be reflected in WP.  Given this “learning by doing” aspect of CCMEP, the </w:t>
      </w:r>
      <w:r w:rsidR="00B350AF">
        <w:rPr>
          <w:rFonts w:ascii="Times New Roman" w:hAnsi="Times New Roman" w:cs="Times New Roman"/>
        </w:rPr>
        <w:t xml:space="preserve">WP </w:t>
      </w:r>
      <w:r>
        <w:rPr>
          <w:rFonts w:ascii="Times New Roman" w:hAnsi="Times New Roman" w:cs="Times New Roman"/>
        </w:rPr>
        <w:t xml:space="preserve">program started out unevenly, depending on the particular county, with program administration becoming stronger as time passed.   With the program phasing in </w:t>
      </w:r>
      <w:r w:rsidR="00B350AF">
        <w:rPr>
          <w:rFonts w:ascii="Times New Roman" w:hAnsi="Times New Roman" w:cs="Times New Roman"/>
        </w:rPr>
        <w:t xml:space="preserve">during </w:t>
      </w:r>
      <w:r>
        <w:rPr>
          <w:rFonts w:ascii="Times New Roman" w:hAnsi="Times New Roman" w:cs="Times New Roman"/>
        </w:rPr>
        <w:t xml:space="preserve">the second calendar quarter of 2017, that quarter and the quarters immediately after may not have had a fully-functioning CCMEP or WP program.  As we discuss below, our approach </w:t>
      </w:r>
      <w:r w:rsidR="004816F6">
        <w:rPr>
          <w:rFonts w:ascii="Times New Roman" w:hAnsi="Times New Roman" w:cs="Times New Roman"/>
        </w:rPr>
        <w:t xml:space="preserve">uses </w:t>
      </w:r>
      <w:r>
        <w:rPr>
          <w:rFonts w:ascii="Times New Roman" w:hAnsi="Times New Roman" w:cs="Times New Roman"/>
        </w:rPr>
        <w:t>a difference-in-differences analysis comparing outcomes before the onset of Wage Pathways to outcomes after the onset of Wage Pathways.  With the implementation of CCMEP and WP varying in smoothness across counties, one might reasonably expect the program effects to start out small, suggesting a strategic choice of pre-onset and post-onset time periods to generate an empirically sharper distinction in the two periods.  Below, we discuss how and why we selected our time periods for the difference-in-difference analysis.</w:t>
      </w:r>
    </w:p>
    <w:p w14:paraId="7A05D6EB" w14:textId="77777777" w:rsidR="00083473" w:rsidRPr="000429AC" w:rsidRDefault="00083473" w:rsidP="00883191">
      <w:pPr>
        <w:pStyle w:val="Heading2"/>
        <w:jc w:val="both"/>
        <w:rPr>
          <w:rFonts w:ascii="Times New Roman" w:hAnsi="Times New Roman" w:cs="Times New Roman"/>
        </w:rPr>
      </w:pPr>
      <w:bookmarkStart w:id="5" w:name="_Toc20468459"/>
      <w:r w:rsidRPr="000429AC">
        <w:rPr>
          <w:rFonts w:ascii="Times New Roman" w:hAnsi="Times New Roman" w:cs="Times New Roman"/>
        </w:rPr>
        <w:t>Wage Pathways Program Outline</w:t>
      </w:r>
      <w:bookmarkEnd w:id="5"/>
    </w:p>
    <w:p w14:paraId="4D12FEF0" w14:textId="0E9D3FBC" w:rsidR="00083473" w:rsidRDefault="002E2524" w:rsidP="00883191">
      <w:pPr>
        <w:jc w:val="both"/>
        <w:rPr>
          <w:rFonts w:ascii="Times New Roman" w:hAnsi="Times New Roman" w:cs="Times New Roman"/>
        </w:rPr>
      </w:pPr>
      <w:r w:rsidRPr="002E2524">
        <w:rPr>
          <w:rFonts w:ascii="Times New Roman" w:hAnsi="Times New Roman" w:cs="Times New Roman"/>
        </w:rPr>
        <w:t>The Wage</w:t>
      </w:r>
      <w:r>
        <w:rPr>
          <w:rFonts w:ascii="Times New Roman" w:hAnsi="Times New Roman" w:cs="Times New Roman"/>
        </w:rPr>
        <w:t xml:space="preserve"> Pathways program, being a component of CCMEP, formally began in July 2016</w:t>
      </w:r>
      <w:r w:rsidR="00EA39EA">
        <w:rPr>
          <w:rFonts w:ascii="Times New Roman" w:hAnsi="Times New Roman" w:cs="Times New Roman"/>
        </w:rPr>
        <w:t xml:space="preserve"> with the program to end September 30, 2019.  </w:t>
      </w:r>
      <w:r w:rsidR="009D1677" w:rsidRPr="009D1677">
        <w:rPr>
          <w:rFonts w:ascii="Times New Roman" w:hAnsi="Times New Roman" w:cs="Times New Roman"/>
        </w:rPr>
        <w:t>Only a subset of counties offer</w:t>
      </w:r>
      <w:r w:rsidR="009D1677">
        <w:rPr>
          <w:rFonts w:ascii="Times New Roman" w:hAnsi="Times New Roman" w:cs="Times New Roman"/>
        </w:rPr>
        <w:t>ed</w:t>
      </w:r>
      <w:r w:rsidR="009D1677" w:rsidRPr="009D1677">
        <w:rPr>
          <w:rFonts w:ascii="Times New Roman" w:hAnsi="Times New Roman" w:cs="Times New Roman"/>
        </w:rPr>
        <w:t xml:space="preserve"> Wage Pathways benefits – Ashtabula (extreme northwest corner of Ohio), Cuyahoga (Cleveland area), Ottawa (north central Ohio on Lake Erie and about 15 miles southeast of Toledo, but does not contain Toledo), Summit (Akron area) and Hamilton (Cincinnati area).</w:t>
      </w:r>
      <w:r w:rsidR="009D1677">
        <w:rPr>
          <w:rFonts w:ascii="Times New Roman" w:hAnsi="Times New Roman" w:cs="Times New Roman"/>
        </w:rPr>
        <w:t xml:space="preserve">  </w:t>
      </w:r>
      <w:r w:rsidR="00EA39EA">
        <w:rPr>
          <w:rFonts w:ascii="Times New Roman" w:hAnsi="Times New Roman" w:cs="Times New Roman"/>
        </w:rPr>
        <w:t>T</w:t>
      </w:r>
      <w:r>
        <w:rPr>
          <w:rFonts w:ascii="Times New Roman" w:hAnsi="Times New Roman" w:cs="Times New Roman"/>
        </w:rPr>
        <w:t>he entry point to WP was through CCMEP, and it took most counties about a year to implement CCMEP</w:t>
      </w:r>
      <w:r w:rsidR="003F126E">
        <w:rPr>
          <w:rFonts w:ascii="Times New Roman" w:hAnsi="Times New Roman" w:cs="Times New Roman"/>
        </w:rPr>
        <w:t xml:space="preserve"> and to phase in WP.</w:t>
      </w:r>
      <w:r w:rsidR="003F126E">
        <w:rPr>
          <w:rStyle w:val="FootnoteReference"/>
          <w:rFonts w:ascii="Times New Roman" w:hAnsi="Times New Roman" w:cs="Times New Roman"/>
        </w:rPr>
        <w:footnoteReference w:id="6"/>
      </w:r>
      <w:r>
        <w:rPr>
          <w:rFonts w:ascii="Times New Roman" w:hAnsi="Times New Roman" w:cs="Times New Roman"/>
        </w:rPr>
        <w:t xml:space="preserve">  As a result, the WP program did not begin until roughly the second quarter of 2017.  Funding for WP came from a $6 million workforce innovation fund grant from the U.S. Department of Labor to ODJFS.  </w:t>
      </w:r>
    </w:p>
    <w:p w14:paraId="6CCB29E8" w14:textId="3B2D333B" w:rsidR="00EA39EA" w:rsidRPr="00EA39EA" w:rsidRDefault="00EA39EA" w:rsidP="00883191">
      <w:pPr>
        <w:jc w:val="both"/>
        <w:rPr>
          <w:rFonts w:ascii="Times New Roman" w:hAnsi="Times New Roman" w:cs="Times New Roman"/>
        </w:rPr>
      </w:pPr>
      <w:r w:rsidRPr="00EA39EA">
        <w:rPr>
          <w:rFonts w:ascii="Times New Roman" w:hAnsi="Times New Roman" w:cs="Times New Roman"/>
        </w:rPr>
        <w:t xml:space="preserve">Due to administrative delays, the program began enrolling participants in May 2017. Hamilton County was added later in 2018. </w:t>
      </w:r>
    </w:p>
    <w:p w14:paraId="4C164EE6" w14:textId="684552FC" w:rsidR="00646D71" w:rsidRPr="004C3342" w:rsidRDefault="00EA39EA" w:rsidP="00F95777">
      <w:pPr>
        <w:pStyle w:val="CommentText"/>
        <w:jc w:val="both"/>
        <w:rPr>
          <w:sz w:val="22"/>
          <w:szCs w:val="22"/>
        </w:rPr>
      </w:pPr>
      <w:r w:rsidRPr="004C3342">
        <w:rPr>
          <w:rFonts w:ascii="Times New Roman" w:hAnsi="Times New Roman" w:cs="Times New Roman"/>
          <w:sz w:val="22"/>
          <w:szCs w:val="22"/>
        </w:rPr>
        <w:t xml:space="preserve">The term ‘wage pathway’ is not defined in the original grant materials, but contextually it refers to a sequence of jobs, each with increasingly greater compensation. The qualifications for participation were that </w:t>
      </w:r>
      <w:r w:rsidRPr="004C3342">
        <w:rPr>
          <w:rFonts w:ascii="Times New Roman" w:hAnsi="Times New Roman" w:cs="Times New Roman"/>
          <w:sz w:val="22"/>
          <w:szCs w:val="22"/>
        </w:rPr>
        <w:lastRenderedPageBreak/>
        <w:t xml:space="preserve">individuals must be served by the CCMEP program and be deemed “work ready” by site administrators. Sites used a variety of methods to select participants, which </w:t>
      </w:r>
      <w:r w:rsidR="0089368F" w:rsidRPr="004C3342">
        <w:rPr>
          <w:rFonts w:ascii="Times New Roman" w:hAnsi="Times New Roman" w:cs="Times New Roman"/>
          <w:sz w:val="22"/>
          <w:szCs w:val="22"/>
        </w:rPr>
        <w:t>we discuss below</w:t>
      </w:r>
      <w:r w:rsidRPr="004C3342">
        <w:rPr>
          <w:rFonts w:ascii="Times New Roman" w:hAnsi="Times New Roman" w:cs="Times New Roman"/>
          <w:sz w:val="22"/>
          <w:szCs w:val="22"/>
        </w:rPr>
        <w:t xml:space="preserve">. </w:t>
      </w:r>
    </w:p>
    <w:p w14:paraId="0EAFCD98" w14:textId="77777777" w:rsidR="002E2524" w:rsidRDefault="002E2524" w:rsidP="00F95777">
      <w:pPr>
        <w:jc w:val="both"/>
        <w:rPr>
          <w:rFonts w:ascii="Times New Roman" w:hAnsi="Times New Roman" w:cs="Times New Roman"/>
        </w:rPr>
      </w:pPr>
      <w:r>
        <w:rPr>
          <w:rFonts w:ascii="Times New Roman" w:hAnsi="Times New Roman" w:cs="Times New Roman"/>
        </w:rPr>
        <w:t>The</w:t>
      </w:r>
      <w:r w:rsidR="0028762A">
        <w:rPr>
          <w:rFonts w:ascii="Times New Roman" w:hAnsi="Times New Roman" w:cs="Times New Roman"/>
        </w:rPr>
        <w:t xml:space="preserve"> major WP program components </w:t>
      </w:r>
      <w:r w:rsidR="00B2153E">
        <w:rPr>
          <w:rFonts w:ascii="Times New Roman" w:hAnsi="Times New Roman" w:cs="Times New Roman"/>
        </w:rPr>
        <w:t xml:space="preserve">for the youths </w:t>
      </w:r>
      <w:r w:rsidR="0028762A">
        <w:rPr>
          <w:rFonts w:ascii="Times New Roman" w:hAnsi="Times New Roman" w:cs="Times New Roman"/>
        </w:rPr>
        <w:t>include:</w:t>
      </w:r>
    </w:p>
    <w:p w14:paraId="096EF87E" w14:textId="77777777" w:rsidR="0028762A" w:rsidRDefault="0028762A" w:rsidP="00F95777">
      <w:pPr>
        <w:pStyle w:val="ListParagraph"/>
        <w:numPr>
          <w:ilvl w:val="0"/>
          <w:numId w:val="1"/>
        </w:numPr>
        <w:jc w:val="both"/>
        <w:rPr>
          <w:rFonts w:ascii="Times New Roman" w:hAnsi="Times New Roman" w:cs="Times New Roman"/>
        </w:rPr>
      </w:pPr>
      <w:r>
        <w:rPr>
          <w:rFonts w:ascii="Times New Roman" w:hAnsi="Times New Roman" w:cs="Times New Roman"/>
        </w:rPr>
        <w:t>Comprehensive case management and barrier removal to help participants become work ready</w:t>
      </w:r>
      <w:r w:rsidR="00B2153E">
        <w:rPr>
          <w:rFonts w:ascii="Times New Roman" w:hAnsi="Times New Roman" w:cs="Times New Roman"/>
        </w:rPr>
        <w:t xml:space="preserve"> so they can gain employment</w:t>
      </w:r>
    </w:p>
    <w:p w14:paraId="013FBD10" w14:textId="77777777" w:rsidR="00B2153E" w:rsidRDefault="00B2153E" w:rsidP="00F95777">
      <w:pPr>
        <w:pStyle w:val="ListParagraph"/>
        <w:numPr>
          <w:ilvl w:val="0"/>
          <w:numId w:val="1"/>
        </w:numPr>
        <w:jc w:val="both"/>
        <w:rPr>
          <w:rFonts w:ascii="Times New Roman" w:hAnsi="Times New Roman" w:cs="Times New Roman"/>
        </w:rPr>
      </w:pPr>
      <w:r>
        <w:rPr>
          <w:rFonts w:ascii="Times New Roman" w:hAnsi="Times New Roman" w:cs="Times New Roman"/>
        </w:rPr>
        <w:t>Personal finance and budgeting knowledge to make the youth more resilient to financial instability that can divert the youth’s attention from their jobs</w:t>
      </w:r>
    </w:p>
    <w:p w14:paraId="0544C6A3" w14:textId="77777777" w:rsidR="00B2153E" w:rsidRDefault="00B2153E" w:rsidP="00F95777">
      <w:pPr>
        <w:pStyle w:val="ListParagraph"/>
        <w:numPr>
          <w:ilvl w:val="0"/>
          <w:numId w:val="1"/>
        </w:numPr>
        <w:jc w:val="both"/>
        <w:rPr>
          <w:rFonts w:ascii="Times New Roman" w:hAnsi="Times New Roman" w:cs="Times New Roman"/>
        </w:rPr>
      </w:pPr>
      <w:r>
        <w:rPr>
          <w:rFonts w:ascii="Times New Roman" w:hAnsi="Times New Roman" w:cs="Times New Roman"/>
        </w:rPr>
        <w:t>Knowledge about navigating the labor market and its opportunities</w:t>
      </w:r>
    </w:p>
    <w:p w14:paraId="3A851B0E" w14:textId="77777777" w:rsidR="00B2153E" w:rsidRDefault="00B2153E" w:rsidP="00F95777">
      <w:pPr>
        <w:pStyle w:val="ListParagraph"/>
        <w:numPr>
          <w:ilvl w:val="0"/>
          <w:numId w:val="1"/>
        </w:numPr>
        <w:jc w:val="both"/>
        <w:rPr>
          <w:rFonts w:ascii="Times New Roman" w:hAnsi="Times New Roman" w:cs="Times New Roman"/>
        </w:rPr>
      </w:pPr>
      <w:r>
        <w:rPr>
          <w:rFonts w:ascii="Times New Roman" w:hAnsi="Times New Roman" w:cs="Times New Roman"/>
        </w:rPr>
        <w:t>Developing work habits, skills and experience</w:t>
      </w:r>
    </w:p>
    <w:p w14:paraId="1F6BC422" w14:textId="77777777" w:rsidR="00B2153E" w:rsidRDefault="00B2153E" w:rsidP="00F95777">
      <w:pPr>
        <w:pStyle w:val="ListParagraph"/>
        <w:numPr>
          <w:ilvl w:val="0"/>
          <w:numId w:val="1"/>
        </w:numPr>
        <w:jc w:val="both"/>
        <w:rPr>
          <w:rFonts w:ascii="Times New Roman" w:hAnsi="Times New Roman" w:cs="Times New Roman"/>
        </w:rPr>
      </w:pPr>
      <w:r>
        <w:rPr>
          <w:rFonts w:ascii="Times New Roman" w:hAnsi="Times New Roman" w:cs="Times New Roman"/>
        </w:rPr>
        <w:t xml:space="preserve">Extended post-placement job coaching </w:t>
      </w:r>
    </w:p>
    <w:p w14:paraId="045010FD" w14:textId="77777777" w:rsidR="00B2153E" w:rsidRDefault="00B2153E" w:rsidP="00F95777">
      <w:pPr>
        <w:pStyle w:val="ListParagraph"/>
        <w:numPr>
          <w:ilvl w:val="0"/>
          <w:numId w:val="1"/>
        </w:numPr>
        <w:jc w:val="both"/>
        <w:rPr>
          <w:rFonts w:ascii="Times New Roman" w:hAnsi="Times New Roman" w:cs="Times New Roman"/>
        </w:rPr>
      </w:pPr>
      <w:r>
        <w:rPr>
          <w:rFonts w:ascii="Times New Roman" w:hAnsi="Times New Roman" w:cs="Times New Roman"/>
        </w:rPr>
        <w:t>Short-term education and training opportunities</w:t>
      </w:r>
    </w:p>
    <w:p w14:paraId="0EA87C13" w14:textId="77777777" w:rsidR="00B2153E" w:rsidRDefault="00B2153E" w:rsidP="00F95777">
      <w:pPr>
        <w:pStyle w:val="ListParagraph"/>
        <w:numPr>
          <w:ilvl w:val="0"/>
          <w:numId w:val="1"/>
        </w:numPr>
        <w:jc w:val="both"/>
        <w:rPr>
          <w:rFonts w:ascii="Times New Roman" w:hAnsi="Times New Roman" w:cs="Times New Roman"/>
        </w:rPr>
      </w:pPr>
      <w:r>
        <w:rPr>
          <w:rFonts w:ascii="Times New Roman" w:hAnsi="Times New Roman" w:cs="Times New Roman"/>
        </w:rPr>
        <w:t>Work-related financial incentives that encourage employment retention, wage progression and placement in in-demand jobs.</w:t>
      </w:r>
    </w:p>
    <w:p w14:paraId="70ACA749" w14:textId="77777777" w:rsidR="00B2153E" w:rsidRDefault="00B2153E" w:rsidP="00F95777">
      <w:pPr>
        <w:jc w:val="both"/>
        <w:rPr>
          <w:rFonts w:ascii="Times New Roman" w:hAnsi="Times New Roman" w:cs="Times New Roman"/>
        </w:rPr>
      </w:pPr>
      <w:r w:rsidRPr="00B2153E">
        <w:rPr>
          <w:rFonts w:ascii="Times New Roman" w:hAnsi="Times New Roman" w:cs="Times New Roman"/>
        </w:rPr>
        <w:t xml:space="preserve">On the caseworker side, the </w:t>
      </w:r>
      <w:r w:rsidR="00B350AF">
        <w:rPr>
          <w:rFonts w:ascii="Times New Roman" w:hAnsi="Times New Roman" w:cs="Times New Roman"/>
        </w:rPr>
        <w:t xml:space="preserve">WP </w:t>
      </w:r>
      <w:r w:rsidRPr="00B2153E">
        <w:rPr>
          <w:rFonts w:ascii="Times New Roman" w:hAnsi="Times New Roman" w:cs="Times New Roman"/>
        </w:rPr>
        <w:t>program seeks to have the counties supply job coaches and job managers with a long-term outlook on employment retention, wage progression and eventual placement in an in-demand job.</w:t>
      </w:r>
    </w:p>
    <w:p w14:paraId="2A9A992D" w14:textId="3EC19959" w:rsidR="00EA39EA" w:rsidRDefault="00EA39EA" w:rsidP="00F95777">
      <w:pPr>
        <w:jc w:val="both"/>
        <w:rPr>
          <w:rFonts w:ascii="Times New Roman" w:hAnsi="Times New Roman" w:cs="Times New Roman"/>
        </w:rPr>
      </w:pPr>
      <w:r w:rsidRPr="00EA39EA">
        <w:rPr>
          <w:rFonts w:ascii="Times New Roman" w:hAnsi="Times New Roman" w:cs="Times New Roman"/>
        </w:rPr>
        <w:t>The program’s intent is to promote a route to immediate employment for participating individuals and align ongoing services after initial job attainment to support the earnings advancement of participants. The incentive structure is viewed as the principal differentiating element intended to motivate individuals to strive for career advancement milestones. Many design elements were left to the pilot sites to determine. For example, participant selection processes, plans and processes for assigning caseloads to case managers, frequency and content of post-placement participant interactions, the form and function of post-placement services, and collaboration with employers were determined by pilot sites in their efforts on the project.</w:t>
      </w:r>
    </w:p>
    <w:p w14:paraId="07F31E5B" w14:textId="77777777" w:rsidR="00943CA6" w:rsidRPr="00BB70CA" w:rsidRDefault="00943CA6" w:rsidP="00F95777">
      <w:pPr>
        <w:pStyle w:val="Heading3"/>
        <w:jc w:val="both"/>
        <w:rPr>
          <w:rFonts w:ascii="Times New Roman" w:hAnsi="Times New Roman" w:cs="Times New Roman"/>
        </w:rPr>
      </w:pPr>
      <w:bookmarkStart w:id="6" w:name="_Toc20468460"/>
      <w:r w:rsidRPr="00BB70CA">
        <w:rPr>
          <w:rFonts w:ascii="Times New Roman" w:hAnsi="Times New Roman" w:cs="Times New Roman"/>
        </w:rPr>
        <w:t>Description of Cash Incentives</w:t>
      </w:r>
      <w:bookmarkEnd w:id="6"/>
    </w:p>
    <w:p w14:paraId="14E035B8" w14:textId="77777777" w:rsidR="00FA1988" w:rsidRDefault="00ED4D07" w:rsidP="00F95777">
      <w:pPr>
        <w:jc w:val="both"/>
        <w:rPr>
          <w:rFonts w:ascii="Times New Roman" w:hAnsi="Times New Roman" w:cs="Times New Roman"/>
        </w:rPr>
      </w:pPr>
      <w:r>
        <w:rPr>
          <w:rFonts w:ascii="Times New Roman" w:hAnsi="Times New Roman" w:cs="Times New Roman"/>
        </w:rPr>
        <w:t>The financial incentives that WP offers the participating youths are:</w:t>
      </w:r>
    </w:p>
    <w:p w14:paraId="78799135" w14:textId="246A5F45" w:rsidR="00ED4D07" w:rsidRDefault="00A63F00" w:rsidP="00F95777">
      <w:pPr>
        <w:pStyle w:val="ListParagraph"/>
        <w:numPr>
          <w:ilvl w:val="0"/>
          <w:numId w:val="2"/>
        </w:numPr>
        <w:jc w:val="both"/>
        <w:rPr>
          <w:rFonts w:ascii="Times New Roman" w:hAnsi="Times New Roman" w:cs="Times New Roman"/>
        </w:rPr>
      </w:pPr>
      <w:r>
        <w:rPr>
          <w:rFonts w:ascii="Times New Roman" w:hAnsi="Times New Roman" w:cs="Times New Roman"/>
        </w:rPr>
        <w:t>Employment retention – working 120 hours in a 30</w:t>
      </w:r>
      <w:r w:rsidR="002A59C6">
        <w:rPr>
          <w:rFonts w:ascii="Times New Roman" w:hAnsi="Times New Roman" w:cs="Times New Roman"/>
        </w:rPr>
        <w:t>-</w:t>
      </w:r>
      <w:r>
        <w:rPr>
          <w:rFonts w:ascii="Times New Roman" w:hAnsi="Times New Roman" w:cs="Times New Roman"/>
        </w:rPr>
        <w:t xml:space="preserve">day period earns a $250 incentive.  Participants can earn up </w:t>
      </w:r>
      <w:r w:rsidR="00E40D49">
        <w:rPr>
          <w:rFonts w:ascii="Times New Roman" w:hAnsi="Times New Roman" w:cs="Times New Roman"/>
        </w:rPr>
        <w:t xml:space="preserve">to $1000 </w:t>
      </w:r>
      <w:r>
        <w:rPr>
          <w:rFonts w:ascii="Times New Roman" w:hAnsi="Times New Roman" w:cs="Times New Roman"/>
        </w:rPr>
        <w:t xml:space="preserve">for </w:t>
      </w:r>
      <w:r w:rsidR="00E40D49">
        <w:rPr>
          <w:rFonts w:ascii="Times New Roman" w:hAnsi="Times New Roman" w:cs="Times New Roman"/>
        </w:rPr>
        <w:t xml:space="preserve">achieving four </w:t>
      </w:r>
      <w:r>
        <w:rPr>
          <w:rFonts w:ascii="Times New Roman" w:hAnsi="Times New Roman" w:cs="Times New Roman"/>
        </w:rPr>
        <w:t>retention incentives.</w:t>
      </w:r>
    </w:p>
    <w:p w14:paraId="6AC49563" w14:textId="77777777" w:rsidR="00A63F00" w:rsidRDefault="00A63F00" w:rsidP="00F95777">
      <w:pPr>
        <w:pStyle w:val="ListParagraph"/>
        <w:numPr>
          <w:ilvl w:val="0"/>
          <w:numId w:val="2"/>
        </w:numPr>
        <w:jc w:val="both"/>
        <w:rPr>
          <w:rFonts w:ascii="Times New Roman" w:hAnsi="Times New Roman" w:cs="Times New Roman"/>
        </w:rPr>
      </w:pPr>
      <w:r>
        <w:rPr>
          <w:rFonts w:ascii="Times New Roman" w:hAnsi="Times New Roman" w:cs="Times New Roman"/>
        </w:rPr>
        <w:t>Wage progression – earning a $1/hour or 10% increase from their highest rate of pay and working 240 hours in 60 days earns a $500 incentive.  Participants can earn up to two wage progression incentives.</w:t>
      </w:r>
    </w:p>
    <w:p w14:paraId="12A3EFFA" w14:textId="17CDA10D" w:rsidR="00A63F00" w:rsidRDefault="00A63F00" w:rsidP="00F95777">
      <w:pPr>
        <w:pStyle w:val="ListParagraph"/>
        <w:numPr>
          <w:ilvl w:val="0"/>
          <w:numId w:val="2"/>
        </w:numPr>
        <w:jc w:val="both"/>
        <w:rPr>
          <w:rFonts w:ascii="Times New Roman" w:hAnsi="Times New Roman" w:cs="Times New Roman"/>
        </w:rPr>
      </w:pPr>
      <w:r>
        <w:rPr>
          <w:rFonts w:ascii="Times New Roman" w:hAnsi="Times New Roman" w:cs="Times New Roman"/>
        </w:rPr>
        <w:t xml:space="preserve">In-demand job </w:t>
      </w:r>
      <w:r w:rsidR="00C96C1A">
        <w:rPr>
          <w:rFonts w:ascii="Times New Roman" w:hAnsi="Times New Roman" w:cs="Times New Roman"/>
        </w:rPr>
        <w:t>–</w:t>
      </w:r>
      <w:r>
        <w:rPr>
          <w:rFonts w:ascii="Times New Roman" w:hAnsi="Times New Roman" w:cs="Times New Roman"/>
        </w:rPr>
        <w:t xml:space="preserve"> </w:t>
      </w:r>
      <w:r w:rsidR="00C96C1A">
        <w:rPr>
          <w:rFonts w:ascii="Times New Roman" w:hAnsi="Times New Roman" w:cs="Times New Roman"/>
        </w:rPr>
        <w:t xml:space="preserve">to earn the first </w:t>
      </w:r>
      <w:r w:rsidR="00056CAC">
        <w:rPr>
          <w:rFonts w:ascii="Times New Roman" w:hAnsi="Times New Roman" w:cs="Times New Roman"/>
        </w:rPr>
        <w:t xml:space="preserve">$500 </w:t>
      </w:r>
      <w:r w:rsidR="00C96C1A">
        <w:rPr>
          <w:rFonts w:ascii="Times New Roman" w:hAnsi="Times New Roman" w:cs="Times New Roman"/>
        </w:rPr>
        <w:t>in-demand incentive, the participant must gain an ODJFS-defined in-demand job paying less than $14/hour and work 360 hours over a 90</w:t>
      </w:r>
      <w:r w:rsidR="002A59C6">
        <w:rPr>
          <w:rFonts w:ascii="Times New Roman" w:hAnsi="Times New Roman" w:cs="Times New Roman"/>
        </w:rPr>
        <w:t>-</w:t>
      </w:r>
      <w:r w:rsidR="00C96C1A">
        <w:rPr>
          <w:rFonts w:ascii="Times New Roman" w:hAnsi="Times New Roman" w:cs="Times New Roman"/>
        </w:rPr>
        <w:t>day period.  To earn the second in-demand incentive, the participant must gain an in-demand job paying $14/hour or more and work 360 hours over a 90</w:t>
      </w:r>
      <w:r w:rsidR="002A59C6">
        <w:rPr>
          <w:rFonts w:ascii="Times New Roman" w:hAnsi="Times New Roman" w:cs="Times New Roman"/>
        </w:rPr>
        <w:t>-</w:t>
      </w:r>
      <w:r w:rsidR="00C96C1A">
        <w:rPr>
          <w:rFonts w:ascii="Times New Roman" w:hAnsi="Times New Roman" w:cs="Times New Roman"/>
        </w:rPr>
        <w:t xml:space="preserve">day period.  If a participant meets the requirements for the first in-demand incentive with a job that pays $14/hour or more, </w:t>
      </w:r>
      <w:r w:rsidR="00056CAC">
        <w:rPr>
          <w:rFonts w:ascii="Times New Roman" w:hAnsi="Times New Roman" w:cs="Times New Roman"/>
        </w:rPr>
        <w:t>they will receive a $1000 incentive, as if they had earned both in-demand incentives but only needing to work 360 hours over a single 90</w:t>
      </w:r>
      <w:r w:rsidR="00C72844">
        <w:rPr>
          <w:rFonts w:ascii="Times New Roman" w:hAnsi="Times New Roman" w:cs="Times New Roman"/>
        </w:rPr>
        <w:t>-</w:t>
      </w:r>
      <w:r w:rsidR="00056CAC">
        <w:rPr>
          <w:rFonts w:ascii="Times New Roman" w:hAnsi="Times New Roman" w:cs="Times New Roman"/>
        </w:rPr>
        <w:t>day period instead of having to work 360 hour</w:t>
      </w:r>
      <w:r w:rsidR="00363BA3">
        <w:rPr>
          <w:rFonts w:ascii="Times New Roman" w:hAnsi="Times New Roman" w:cs="Times New Roman"/>
        </w:rPr>
        <w:t>s</w:t>
      </w:r>
      <w:r w:rsidR="00056CAC">
        <w:rPr>
          <w:rFonts w:ascii="Times New Roman" w:hAnsi="Times New Roman" w:cs="Times New Roman"/>
        </w:rPr>
        <w:t xml:space="preserve"> in each of two 90</w:t>
      </w:r>
      <w:r w:rsidR="00C72844">
        <w:rPr>
          <w:rFonts w:ascii="Times New Roman" w:hAnsi="Times New Roman" w:cs="Times New Roman"/>
        </w:rPr>
        <w:t>-</w:t>
      </w:r>
      <w:r w:rsidR="00056CAC">
        <w:rPr>
          <w:rFonts w:ascii="Times New Roman" w:hAnsi="Times New Roman" w:cs="Times New Roman"/>
        </w:rPr>
        <w:t>day periods.</w:t>
      </w:r>
    </w:p>
    <w:p w14:paraId="363A0AC9" w14:textId="77777777" w:rsidR="00056CAC" w:rsidRDefault="00056CAC" w:rsidP="00F95777">
      <w:pPr>
        <w:jc w:val="both"/>
        <w:rPr>
          <w:rFonts w:ascii="Times New Roman" w:hAnsi="Times New Roman" w:cs="Times New Roman"/>
        </w:rPr>
      </w:pPr>
      <w:r>
        <w:rPr>
          <w:rFonts w:ascii="Times New Roman" w:hAnsi="Times New Roman" w:cs="Times New Roman"/>
        </w:rPr>
        <w:t xml:space="preserve">These incentives can be “stacked”; </w:t>
      </w:r>
      <w:r w:rsidRPr="00B209ED">
        <w:rPr>
          <w:rFonts w:ascii="Times New Roman" w:hAnsi="Times New Roman" w:cs="Times New Roman"/>
          <w:b/>
        </w:rPr>
        <w:t>a participant is allowed to earn all three incentives and may concurrently satisfy more than one incentive</w:t>
      </w:r>
      <w:r>
        <w:rPr>
          <w:rFonts w:ascii="Times New Roman" w:hAnsi="Times New Roman" w:cs="Times New Roman"/>
        </w:rPr>
        <w:t>.</w:t>
      </w:r>
    </w:p>
    <w:p w14:paraId="6BBC8700" w14:textId="77777777" w:rsidR="00943CA6" w:rsidRPr="00BB70CA" w:rsidRDefault="00943CA6" w:rsidP="00F95777">
      <w:pPr>
        <w:pStyle w:val="Heading3"/>
        <w:jc w:val="both"/>
        <w:rPr>
          <w:rFonts w:ascii="Times New Roman" w:hAnsi="Times New Roman" w:cs="Times New Roman"/>
        </w:rPr>
      </w:pPr>
      <w:bookmarkStart w:id="7" w:name="_Toc20468461"/>
      <w:r w:rsidRPr="00BB70CA">
        <w:rPr>
          <w:rFonts w:ascii="Times New Roman" w:hAnsi="Times New Roman" w:cs="Times New Roman"/>
        </w:rPr>
        <w:t>The Timing of Program Launch</w:t>
      </w:r>
      <w:bookmarkEnd w:id="7"/>
    </w:p>
    <w:p w14:paraId="3A93FDDE" w14:textId="01F854C5" w:rsidR="00943CA6" w:rsidRPr="00943CA6" w:rsidRDefault="00943CA6" w:rsidP="00F95777">
      <w:pPr>
        <w:jc w:val="both"/>
        <w:rPr>
          <w:rFonts w:ascii="Times New Roman" w:hAnsi="Times New Roman" w:cs="Times New Roman"/>
        </w:rPr>
      </w:pPr>
      <w:r w:rsidRPr="00943CA6">
        <w:rPr>
          <w:rFonts w:ascii="Times New Roman" w:hAnsi="Times New Roman" w:cs="Times New Roman"/>
        </w:rPr>
        <w:t xml:space="preserve">Summit County, which includes Akron, and Cuyahoga County, which includes Cleveland, were central in developing the initial proposal to USDOL. </w:t>
      </w:r>
      <w:r w:rsidR="004C3342">
        <w:rPr>
          <w:rFonts w:ascii="Times New Roman" w:hAnsi="Times New Roman" w:cs="Times New Roman"/>
        </w:rPr>
        <w:t>We can characterize t</w:t>
      </w:r>
      <w:r w:rsidRPr="00943CA6">
        <w:rPr>
          <w:rFonts w:ascii="Times New Roman" w:hAnsi="Times New Roman" w:cs="Times New Roman"/>
        </w:rPr>
        <w:t xml:space="preserve">hese counties as having urban population </w:t>
      </w:r>
      <w:r w:rsidRPr="00943CA6">
        <w:rPr>
          <w:rFonts w:ascii="Times New Roman" w:hAnsi="Times New Roman" w:cs="Times New Roman"/>
        </w:rPr>
        <w:lastRenderedPageBreak/>
        <w:t xml:space="preserve">density with pockets of significant poverty. At the time of project conception, Summit and Cuyahoga counties </w:t>
      </w:r>
      <w:r w:rsidR="004C3342">
        <w:rPr>
          <w:rFonts w:ascii="Times New Roman" w:hAnsi="Times New Roman" w:cs="Times New Roman"/>
        </w:rPr>
        <w:t>ran</w:t>
      </w:r>
      <w:r w:rsidRPr="00943CA6">
        <w:rPr>
          <w:rFonts w:ascii="Times New Roman" w:hAnsi="Times New Roman" w:cs="Times New Roman"/>
        </w:rPr>
        <w:t xml:space="preserve"> an initiative called Skills-Based Hiring that relied on the WorkKeys assessment as a focal tool in engaging business in the matching and labor force attachment process. The leaders from these counties envisioned the Wage Pathways program </w:t>
      </w:r>
      <w:r w:rsidR="00A65D4D">
        <w:rPr>
          <w:rFonts w:ascii="Times New Roman" w:hAnsi="Times New Roman" w:cs="Times New Roman"/>
        </w:rPr>
        <w:t>as</w:t>
      </w:r>
      <w:r w:rsidRPr="00943CA6">
        <w:rPr>
          <w:rFonts w:ascii="Times New Roman" w:hAnsi="Times New Roman" w:cs="Times New Roman"/>
        </w:rPr>
        <w:t xml:space="preserve"> an extension of the Skills-Based Hiring initiative. At the time, the Skills-Based Hiring initiative was the focal element of the program, and cash incentives were not a focal design element. However, once the grant was funded, the main design elements of the program were changed to focus on cash incentives. This resulted in a need for the state and these counties to negotiate the scope of work, which resulted in a delayed launch of the program. The delay motivated the state to bring new counties into the program, with the added component that at least one rural county would be chosen, and that the implementation would be kept in the northern part of the state. Ashtabula and Ottawa </w:t>
      </w:r>
      <w:r w:rsidR="00A65D4D">
        <w:rPr>
          <w:rFonts w:ascii="Times New Roman" w:hAnsi="Times New Roman" w:cs="Times New Roman"/>
        </w:rPr>
        <w:t>C</w:t>
      </w:r>
      <w:r w:rsidRPr="00943CA6">
        <w:rPr>
          <w:rFonts w:ascii="Times New Roman" w:hAnsi="Times New Roman" w:cs="Times New Roman"/>
        </w:rPr>
        <w:t>ounties volunteered to participate</w:t>
      </w:r>
      <w:r w:rsidR="00A65D4D">
        <w:rPr>
          <w:rFonts w:ascii="Times New Roman" w:hAnsi="Times New Roman" w:cs="Times New Roman"/>
        </w:rPr>
        <w:t>,</w:t>
      </w:r>
      <w:r w:rsidRPr="00943CA6">
        <w:rPr>
          <w:rFonts w:ascii="Times New Roman" w:hAnsi="Times New Roman" w:cs="Times New Roman"/>
        </w:rPr>
        <w:t xml:space="preserve"> with leaders indicating that they thought cash incentives would benefit their clients. Ashtabula and Ottawa began enrolling participants in May 2017. Cuyahoga and Summit began enrolling participants in October 2017.</w:t>
      </w:r>
    </w:p>
    <w:p w14:paraId="5A7EF2A8" w14:textId="71C4DE22" w:rsidR="00943CA6" w:rsidRPr="00943CA6" w:rsidRDefault="00943CA6" w:rsidP="00F95777">
      <w:pPr>
        <w:jc w:val="both"/>
        <w:rPr>
          <w:rFonts w:ascii="Times New Roman" w:hAnsi="Times New Roman" w:cs="Times New Roman"/>
        </w:rPr>
      </w:pPr>
      <w:r w:rsidRPr="00943CA6">
        <w:rPr>
          <w:rFonts w:ascii="Times New Roman" w:hAnsi="Times New Roman" w:cs="Times New Roman"/>
        </w:rPr>
        <w:t>A transition occurred in July 2018 in Ottawa County when the original</w:t>
      </w:r>
      <w:r w:rsidR="00387E7B">
        <w:rPr>
          <w:rFonts w:ascii="Times New Roman" w:hAnsi="Times New Roman" w:cs="Times New Roman"/>
        </w:rPr>
        <w:t>ly</w:t>
      </w:r>
      <w:r w:rsidRPr="00943CA6">
        <w:rPr>
          <w:rFonts w:ascii="Times New Roman" w:hAnsi="Times New Roman" w:cs="Times New Roman"/>
        </w:rPr>
        <w:t xml:space="preserve"> contracted CCMEP service provider </w:t>
      </w:r>
      <w:r w:rsidR="00387E7B">
        <w:rPr>
          <w:rFonts w:ascii="Times New Roman" w:hAnsi="Times New Roman" w:cs="Times New Roman"/>
        </w:rPr>
        <w:t>did not succeed in its</w:t>
      </w:r>
      <w:r w:rsidRPr="00943CA6">
        <w:rPr>
          <w:rFonts w:ascii="Times New Roman" w:hAnsi="Times New Roman" w:cs="Times New Roman"/>
        </w:rPr>
        <w:t xml:space="preserve"> bid to </w:t>
      </w:r>
      <w:r w:rsidR="00387E7B">
        <w:rPr>
          <w:rFonts w:ascii="Times New Roman" w:hAnsi="Times New Roman" w:cs="Times New Roman"/>
        </w:rPr>
        <w:t xml:space="preserve">continue </w:t>
      </w:r>
      <w:r w:rsidRPr="00943CA6">
        <w:rPr>
          <w:rFonts w:ascii="Times New Roman" w:hAnsi="Times New Roman" w:cs="Times New Roman"/>
        </w:rPr>
        <w:t>provid</w:t>
      </w:r>
      <w:r w:rsidR="00387E7B">
        <w:rPr>
          <w:rFonts w:ascii="Times New Roman" w:hAnsi="Times New Roman" w:cs="Times New Roman"/>
        </w:rPr>
        <w:t>ing</w:t>
      </w:r>
      <w:r w:rsidRPr="00943CA6">
        <w:rPr>
          <w:rFonts w:ascii="Times New Roman" w:hAnsi="Times New Roman" w:cs="Times New Roman"/>
        </w:rPr>
        <w:t xml:space="preserve"> services for the county and was replaced by another service provider. Following the transition, almost no new participants were enrolled in Ottawa County through mid-2019. </w:t>
      </w:r>
    </w:p>
    <w:p w14:paraId="532FFC09" w14:textId="51D39B07" w:rsidR="00943CA6" w:rsidRDefault="00943CA6" w:rsidP="00F95777">
      <w:pPr>
        <w:jc w:val="both"/>
        <w:rPr>
          <w:rFonts w:ascii="Times New Roman" w:hAnsi="Times New Roman" w:cs="Times New Roman"/>
        </w:rPr>
      </w:pPr>
      <w:r w:rsidRPr="00943CA6">
        <w:rPr>
          <w:rFonts w:ascii="Times New Roman" w:hAnsi="Times New Roman" w:cs="Times New Roman"/>
        </w:rPr>
        <w:t xml:space="preserve">Later, Hamilton County, which includes Cincinnati, was added in response to overall lagging </w:t>
      </w:r>
      <w:r w:rsidR="000028DD">
        <w:rPr>
          <w:rFonts w:ascii="Times New Roman" w:hAnsi="Times New Roman" w:cs="Times New Roman"/>
        </w:rPr>
        <w:t xml:space="preserve">WP </w:t>
      </w:r>
      <w:r w:rsidRPr="00943CA6">
        <w:rPr>
          <w:rFonts w:ascii="Times New Roman" w:hAnsi="Times New Roman" w:cs="Times New Roman"/>
        </w:rPr>
        <w:t>participant numbers statewide. Hamilton began enrolling participants in July 2018.</w:t>
      </w:r>
      <w:r>
        <w:rPr>
          <w:rFonts w:ascii="Times New Roman" w:hAnsi="Times New Roman" w:cs="Times New Roman"/>
        </w:rPr>
        <w:t xml:space="preserve">  This late start, for practical purposes, made Hamilton County a “control county” as its CCMEP clients did not receive as much exposure to WP as the other four counties.  </w:t>
      </w:r>
      <w:r w:rsidR="0089368F">
        <w:rPr>
          <w:rFonts w:ascii="Times New Roman" w:hAnsi="Times New Roman" w:cs="Times New Roman"/>
        </w:rPr>
        <w:t>One might expect i</w:t>
      </w:r>
      <w:r>
        <w:rPr>
          <w:rFonts w:ascii="Times New Roman" w:hAnsi="Times New Roman" w:cs="Times New Roman"/>
        </w:rPr>
        <w:t xml:space="preserve">ncluding Hamilton as a control county </w:t>
      </w:r>
      <w:r w:rsidR="0089368F">
        <w:rPr>
          <w:rFonts w:ascii="Times New Roman" w:hAnsi="Times New Roman" w:cs="Times New Roman"/>
        </w:rPr>
        <w:t xml:space="preserve">would </w:t>
      </w:r>
      <w:r>
        <w:rPr>
          <w:rFonts w:ascii="Times New Roman" w:hAnsi="Times New Roman" w:cs="Times New Roman"/>
        </w:rPr>
        <w:t xml:space="preserve">tend to understate the true impact of WP insofar as </w:t>
      </w:r>
      <w:r w:rsidR="00385E6D">
        <w:rPr>
          <w:rFonts w:ascii="Times New Roman" w:hAnsi="Times New Roman" w:cs="Times New Roman"/>
        </w:rPr>
        <w:t xml:space="preserve">whether </w:t>
      </w:r>
      <w:r>
        <w:rPr>
          <w:rFonts w:ascii="Times New Roman" w:hAnsi="Times New Roman" w:cs="Times New Roman"/>
        </w:rPr>
        <w:t xml:space="preserve">Hamilton </w:t>
      </w:r>
      <w:r w:rsidR="00AE5892">
        <w:rPr>
          <w:rFonts w:ascii="Times New Roman" w:hAnsi="Times New Roman" w:cs="Times New Roman"/>
        </w:rPr>
        <w:t>County clients benefited at all from exposure to the WP program.</w:t>
      </w:r>
      <w:r w:rsidRPr="00943CA6">
        <w:rPr>
          <w:rFonts w:ascii="Times New Roman" w:hAnsi="Times New Roman" w:cs="Times New Roman"/>
        </w:rPr>
        <w:t xml:space="preserve"> </w:t>
      </w:r>
      <w:r w:rsidR="002D5248">
        <w:rPr>
          <w:rFonts w:ascii="Times New Roman" w:hAnsi="Times New Roman" w:cs="Times New Roman"/>
        </w:rPr>
        <w:t>However, as it turned out, whether Hamilton County was in or out of the analysis data file, the estimated effect of the program changed little.</w:t>
      </w:r>
    </w:p>
    <w:p w14:paraId="72E4B969" w14:textId="77777777" w:rsidR="000429AC" w:rsidRPr="000429AC" w:rsidRDefault="000429AC" w:rsidP="00F95777">
      <w:pPr>
        <w:pStyle w:val="Heading1"/>
        <w:jc w:val="both"/>
        <w:rPr>
          <w:rFonts w:ascii="Times New Roman" w:hAnsi="Times New Roman" w:cs="Times New Roman"/>
        </w:rPr>
      </w:pPr>
      <w:bookmarkStart w:id="8" w:name="_Toc20468462"/>
      <w:r w:rsidRPr="000429AC">
        <w:rPr>
          <w:rFonts w:ascii="Times New Roman" w:hAnsi="Times New Roman" w:cs="Times New Roman"/>
        </w:rPr>
        <w:t>Evaluation of the Wage Pathways Program Implementation</w:t>
      </w:r>
      <w:bookmarkEnd w:id="8"/>
    </w:p>
    <w:p w14:paraId="4BA9F0AC" w14:textId="77777777" w:rsidR="00AE5892" w:rsidRPr="000429AC" w:rsidRDefault="00AE5892" w:rsidP="00F95777">
      <w:pPr>
        <w:pStyle w:val="Heading2"/>
        <w:jc w:val="both"/>
        <w:rPr>
          <w:rFonts w:ascii="Times New Roman" w:hAnsi="Times New Roman" w:cs="Times New Roman"/>
        </w:rPr>
      </w:pPr>
      <w:bookmarkStart w:id="9" w:name="_Toc20468463"/>
      <w:r w:rsidRPr="000429AC">
        <w:rPr>
          <w:rFonts w:ascii="Times New Roman" w:hAnsi="Times New Roman" w:cs="Times New Roman"/>
        </w:rPr>
        <w:t>Overview of the Implementation Evaluation</w:t>
      </w:r>
      <w:bookmarkEnd w:id="9"/>
    </w:p>
    <w:p w14:paraId="5182D651" w14:textId="01F0AD16" w:rsidR="00AE5892" w:rsidRPr="00A44A5B" w:rsidRDefault="00AE5892" w:rsidP="00F95777">
      <w:pPr>
        <w:jc w:val="both"/>
        <w:rPr>
          <w:rFonts w:ascii="Times New Roman" w:hAnsi="Times New Roman" w:cs="Times New Roman"/>
        </w:rPr>
      </w:pPr>
      <w:r w:rsidRPr="00AE5892">
        <w:rPr>
          <w:rFonts w:ascii="Times New Roman" w:hAnsi="Times New Roman" w:cs="Times New Roman"/>
        </w:rPr>
        <w:t>The implementation evaluation had two overarching goals: (1) document fidelity to the intended design, and (2) assess whether design elements effective</w:t>
      </w:r>
      <w:r w:rsidR="006606D8">
        <w:rPr>
          <w:rFonts w:ascii="Times New Roman" w:hAnsi="Times New Roman" w:cs="Times New Roman"/>
        </w:rPr>
        <w:t>ly</w:t>
      </w:r>
      <w:r w:rsidRPr="00AE5892">
        <w:rPr>
          <w:rFonts w:ascii="Times New Roman" w:hAnsi="Times New Roman" w:cs="Times New Roman"/>
        </w:rPr>
        <w:t xml:space="preserve"> promot</w:t>
      </w:r>
      <w:r w:rsidR="006606D8">
        <w:rPr>
          <w:rFonts w:ascii="Times New Roman" w:hAnsi="Times New Roman" w:cs="Times New Roman"/>
        </w:rPr>
        <w:t>ed</w:t>
      </w:r>
      <w:r w:rsidRPr="00AE5892">
        <w:rPr>
          <w:rFonts w:ascii="Times New Roman" w:hAnsi="Times New Roman" w:cs="Times New Roman"/>
        </w:rPr>
        <w:t xml:space="preserve"> job placement and retention and earnings advancement for participants. </w:t>
      </w:r>
      <w:r w:rsidR="006606D8">
        <w:rPr>
          <w:rFonts w:ascii="Times New Roman" w:hAnsi="Times New Roman" w:cs="Times New Roman"/>
        </w:rPr>
        <w:t>We used q</w:t>
      </w:r>
      <w:r w:rsidRPr="00AE5892">
        <w:rPr>
          <w:rFonts w:ascii="Times New Roman" w:hAnsi="Times New Roman" w:cs="Times New Roman"/>
        </w:rPr>
        <w:t>ualitative methods including interviews, focus groups, onsite observation, and participant file review to investigate how sites implemented project activities. Evaluation topics were framed around the defining elements of the program.</w:t>
      </w:r>
    </w:p>
    <w:p w14:paraId="2364C77B" w14:textId="13D66ECD" w:rsidR="00AE5892" w:rsidRPr="00AE5892" w:rsidRDefault="00AE5892" w:rsidP="00F95777">
      <w:pPr>
        <w:pStyle w:val="ListParagraph"/>
        <w:numPr>
          <w:ilvl w:val="0"/>
          <w:numId w:val="4"/>
        </w:numPr>
        <w:jc w:val="both"/>
        <w:rPr>
          <w:rFonts w:ascii="Times New Roman" w:hAnsi="Times New Roman" w:cs="Times New Roman"/>
        </w:rPr>
      </w:pPr>
      <w:r w:rsidRPr="00AE5892">
        <w:rPr>
          <w:rFonts w:ascii="Times New Roman" w:hAnsi="Times New Roman" w:cs="Times New Roman"/>
        </w:rPr>
        <w:t xml:space="preserve">Are intake and assessment methods effective in identifying individuals </w:t>
      </w:r>
      <w:r w:rsidR="00E22CD9">
        <w:rPr>
          <w:rFonts w:ascii="Times New Roman" w:hAnsi="Times New Roman" w:cs="Times New Roman"/>
        </w:rPr>
        <w:t>who</w:t>
      </w:r>
      <w:r w:rsidRPr="00AE5892">
        <w:rPr>
          <w:rFonts w:ascii="Times New Roman" w:hAnsi="Times New Roman" w:cs="Times New Roman"/>
        </w:rPr>
        <w:t xml:space="preserve"> are work ready and best served by immediate employment and cash incentives?</w:t>
      </w:r>
    </w:p>
    <w:p w14:paraId="6C457C4B" w14:textId="77777777" w:rsidR="00AE5892" w:rsidRPr="00AE5892" w:rsidRDefault="00AE5892" w:rsidP="00F95777">
      <w:pPr>
        <w:pStyle w:val="ListParagraph"/>
        <w:numPr>
          <w:ilvl w:val="0"/>
          <w:numId w:val="4"/>
        </w:numPr>
        <w:jc w:val="both"/>
        <w:rPr>
          <w:rFonts w:ascii="Times New Roman" w:hAnsi="Times New Roman" w:cs="Times New Roman"/>
        </w:rPr>
      </w:pPr>
      <w:r w:rsidRPr="00AE5892">
        <w:rPr>
          <w:rFonts w:ascii="Times New Roman" w:hAnsi="Times New Roman" w:cs="Times New Roman"/>
        </w:rPr>
        <w:t>Are cash incentives effectively integrated with career counseling and other workforce services to support job attainment, retention, and advancement?</w:t>
      </w:r>
    </w:p>
    <w:p w14:paraId="40BE3571" w14:textId="77777777" w:rsidR="00AE5892" w:rsidRPr="00AE5892" w:rsidRDefault="00AE5892" w:rsidP="00F95777">
      <w:pPr>
        <w:pStyle w:val="ListParagraph"/>
        <w:numPr>
          <w:ilvl w:val="0"/>
          <w:numId w:val="4"/>
        </w:numPr>
        <w:jc w:val="both"/>
        <w:rPr>
          <w:rFonts w:ascii="Times New Roman" w:hAnsi="Times New Roman" w:cs="Times New Roman"/>
        </w:rPr>
      </w:pPr>
      <w:r w:rsidRPr="00AE5892">
        <w:rPr>
          <w:rFonts w:ascii="Times New Roman" w:hAnsi="Times New Roman" w:cs="Times New Roman"/>
        </w:rPr>
        <w:t>Does post-placement engagement with participants promote job retention and earnings advancement to complement cash incentives?</w:t>
      </w:r>
    </w:p>
    <w:p w14:paraId="5C1514FA" w14:textId="77777777" w:rsidR="00AE5892" w:rsidRPr="00AE5892" w:rsidRDefault="00AE5892" w:rsidP="00F95777">
      <w:pPr>
        <w:pStyle w:val="ListParagraph"/>
        <w:numPr>
          <w:ilvl w:val="0"/>
          <w:numId w:val="4"/>
        </w:numPr>
        <w:jc w:val="both"/>
        <w:rPr>
          <w:rFonts w:ascii="Times New Roman" w:hAnsi="Times New Roman" w:cs="Times New Roman"/>
        </w:rPr>
      </w:pPr>
      <w:r w:rsidRPr="00AE5892">
        <w:rPr>
          <w:rFonts w:ascii="Times New Roman" w:hAnsi="Times New Roman" w:cs="Times New Roman"/>
        </w:rPr>
        <w:t>Are cash incentives an effective tool for promoting job retention and wage advancement among participants?</w:t>
      </w:r>
    </w:p>
    <w:p w14:paraId="2FD2AE5C" w14:textId="203DC83F" w:rsidR="00AE5892" w:rsidRPr="00AE5892" w:rsidRDefault="00AE5892" w:rsidP="00F95777">
      <w:pPr>
        <w:pStyle w:val="ListParagraph"/>
        <w:numPr>
          <w:ilvl w:val="0"/>
          <w:numId w:val="4"/>
        </w:numPr>
        <w:jc w:val="both"/>
        <w:rPr>
          <w:rFonts w:ascii="Times New Roman" w:hAnsi="Times New Roman" w:cs="Times New Roman"/>
        </w:rPr>
      </w:pPr>
      <w:r w:rsidRPr="00AE5892">
        <w:rPr>
          <w:rFonts w:ascii="Times New Roman" w:hAnsi="Times New Roman" w:cs="Times New Roman"/>
        </w:rPr>
        <w:t>How</w:t>
      </w:r>
      <w:r w:rsidR="006606D8">
        <w:rPr>
          <w:rFonts w:ascii="Times New Roman" w:hAnsi="Times New Roman" w:cs="Times New Roman"/>
        </w:rPr>
        <w:t>,</w:t>
      </w:r>
      <w:r w:rsidRPr="00AE5892">
        <w:rPr>
          <w:rFonts w:ascii="Times New Roman" w:hAnsi="Times New Roman" w:cs="Times New Roman"/>
        </w:rPr>
        <w:t xml:space="preserve"> and in what ways</w:t>
      </w:r>
      <w:r w:rsidR="006606D8">
        <w:rPr>
          <w:rFonts w:ascii="Times New Roman" w:hAnsi="Times New Roman" w:cs="Times New Roman"/>
        </w:rPr>
        <w:t>,</w:t>
      </w:r>
      <w:r w:rsidRPr="00AE5892">
        <w:rPr>
          <w:rFonts w:ascii="Times New Roman" w:hAnsi="Times New Roman" w:cs="Times New Roman"/>
        </w:rPr>
        <w:t xml:space="preserve"> were employers engaged in the Wage Pathways program?</w:t>
      </w:r>
    </w:p>
    <w:p w14:paraId="4077DCB5" w14:textId="77777777" w:rsidR="00AE5892" w:rsidRPr="000429AC" w:rsidRDefault="00AE5892" w:rsidP="00F95777">
      <w:pPr>
        <w:pStyle w:val="Heading2"/>
        <w:jc w:val="both"/>
        <w:rPr>
          <w:rFonts w:ascii="Times New Roman" w:hAnsi="Times New Roman" w:cs="Times New Roman"/>
        </w:rPr>
      </w:pPr>
      <w:bookmarkStart w:id="10" w:name="_Toc20468464"/>
      <w:r w:rsidRPr="000429AC">
        <w:rPr>
          <w:rFonts w:ascii="Times New Roman" w:hAnsi="Times New Roman" w:cs="Times New Roman"/>
        </w:rPr>
        <w:lastRenderedPageBreak/>
        <w:t>Selection of Participants</w:t>
      </w:r>
      <w:bookmarkEnd w:id="10"/>
    </w:p>
    <w:p w14:paraId="515AEB10" w14:textId="41A1002B" w:rsidR="00AE5892" w:rsidRPr="00AE5892" w:rsidRDefault="006606D8" w:rsidP="00F95777">
      <w:pPr>
        <w:jc w:val="both"/>
        <w:rPr>
          <w:rFonts w:ascii="Times New Roman" w:hAnsi="Times New Roman" w:cs="Times New Roman"/>
        </w:rPr>
      </w:pPr>
      <w:r>
        <w:rPr>
          <w:rFonts w:ascii="Times New Roman" w:hAnsi="Times New Roman" w:cs="Times New Roman"/>
        </w:rPr>
        <w:t xml:space="preserve">Counties selected </w:t>
      </w:r>
      <w:r w:rsidR="00AE5892" w:rsidRPr="00AE5892">
        <w:rPr>
          <w:rFonts w:ascii="Times New Roman" w:hAnsi="Times New Roman" w:cs="Times New Roman"/>
        </w:rPr>
        <w:t>Wage Pathways participants from the</w:t>
      </w:r>
      <w:r>
        <w:rPr>
          <w:rFonts w:ascii="Times New Roman" w:hAnsi="Times New Roman" w:cs="Times New Roman"/>
        </w:rPr>
        <w:t>ir</w:t>
      </w:r>
      <w:r w:rsidR="00AE5892" w:rsidRPr="00AE5892">
        <w:rPr>
          <w:rFonts w:ascii="Times New Roman" w:hAnsi="Times New Roman" w:cs="Times New Roman"/>
        </w:rPr>
        <w:t xml:space="preserve"> overall CCMEP service population. CCMEP guides employment and training services for individuals based on a comprehensive assessment of employment and training needs, as well as a basic skills assessment. CCMEP participants develop an Individual Opportunity Plan (IOP), which may include plans to obtain a high school diploma, job placement, work experience, and establishes plans for supportive services such as childcare, and transportation. Case managers work closely with CCMEP participants, with participants asked to commit to a minimum of 20 hours per week for participating in activities outlined in their IOP.  Wage Pathways was introduced to individuals in the context of CCMEP case management discussions and IOP development. </w:t>
      </w:r>
      <w:r w:rsidR="00650620">
        <w:rPr>
          <w:rFonts w:ascii="Times New Roman" w:hAnsi="Times New Roman" w:cs="Times New Roman"/>
        </w:rPr>
        <w:t xml:space="preserve"> The state did not </w:t>
      </w:r>
      <w:r w:rsidR="00AE5892" w:rsidRPr="00AE5892">
        <w:rPr>
          <w:rFonts w:ascii="Times New Roman" w:hAnsi="Times New Roman" w:cs="Times New Roman"/>
        </w:rPr>
        <w:t>prescribe how the site would deliver the Wage Pathways overview to potential participants. Generally, an individual is considered to have completed the CCMEP program when they have successfully obtained employment, begun post-secondary education, and/or enlisted in the military. However, individuals enrolled in Wage Pathways are retained in the CCMEP program for up to two years</w:t>
      </w:r>
      <w:r w:rsidR="006557EA">
        <w:rPr>
          <w:rFonts w:ascii="Times New Roman" w:hAnsi="Times New Roman" w:cs="Times New Roman"/>
        </w:rPr>
        <w:t>.  This</w:t>
      </w:r>
      <w:r w:rsidR="00AE5892" w:rsidRPr="00AE5892">
        <w:rPr>
          <w:rFonts w:ascii="Times New Roman" w:hAnsi="Times New Roman" w:cs="Times New Roman"/>
        </w:rPr>
        <w:t xml:space="preserve"> allows time for participants to receive extended services and achieve the incentives with a goal</w:t>
      </w:r>
      <w:r w:rsidR="00650620">
        <w:rPr>
          <w:rFonts w:ascii="Times New Roman" w:hAnsi="Times New Roman" w:cs="Times New Roman"/>
        </w:rPr>
        <w:t xml:space="preserve"> of</w:t>
      </w:r>
      <w:r w:rsidR="00AE5892" w:rsidRPr="00AE5892">
        <w:rPr>
          <w:rFonts w:ascii="Times New Roman" w:hAnsi="Times New Roman" w:cs="Times New Roman"/>
        </w:rPr>
        <w:t xml:space="preserve"> achiev</w:t>
      </w:r>
      <w:r w:rsidR="00650620">
        <w:rPr>
          <w:rFonts w:ascii="Times New Roman" w:hAnsi="Times New Roman" w:cs="Times New Roman"/>
        </w:rPr>
        <w:t>ing</w:t>
      </w:r>
      <w:r w:rsidR="00AE5892" w:rsidRPr="00AE5892">
        <w:rPr>
          <w:rFonts w:ascii="Times New Roman" w:hAnsi="Times New Roman" w:cs="Times New Roman"/>
        </w:rPr>
        <w:t xml:space="preserve"> earnings increases. </w:t>
      </w:r>
      <w:r w:rsidR="00650620">
        <w:rPr>
          <w:rFonts w:ascii="Times New Roman" w:hAnsi="Times New Roman" w:cs="Times New Roman"/>
        </w:rPr>
        <w:t xml:space="preserve"> </w:t>
      </w:r>
      <w:r w:rsidR="00AE5892" w:rsidRPr="00AE5892">
        <w:rPr>
          <w:rFonts w:ascii="Times New Roman" w:hAnsi="Times New Roman" w:cs="Times New Roman"/>
        </w:rPr>
        <w:t xml:space="preserve">Potential participants were invited to participate in a Wage Pathways orientation session, which provided a deeper explanation of the program’s goals and incentives. Individuals could self-select to become participants following the orientation. </w:t>
      </w:r>
    </w:p>
    <w:p w14:paraId="27F8A074" w14:textId="13C2D6B9" w:rsidR="00AE5892" w:rsidRPr="00AE5892" w:rsidRDefault="00AE5892" w:rsidP="00F95777">
      <w:pPr>
        <w:jc w:val="both"/>
        <w:rPr>
          <w:rFonts w:ascii="Times New Roman" w:hAnsi="Times New Roman" w:cs="Times New Roman"/>
        </w:rPr>
      </w:pPr>
      <w:r w:rsidRPr="00AE5892">
        <w:rPr>
          <w:rFonts w:ascii="Times New Roman" w:hAnsi="Times New Roman" w:cs="Times New Roman"/>
        </w:rPr>
        <w:t xml:space="preserve">Each county had a slightly different strategy to recruit participants. </w:t>
      </w:r>
      <w:r w:rsidR="00650620">
        <w:rPr>
          <w:rFonts w:ascii="Times New Roman" w:hAnsi="Times New Roman" w:cs="Times New Roman"/>
        </w:rPr>
        <w:t xml:space="preserve"> </w:t>
      </w:r>
      <w:r w:rsidR="006557EA">
        <w:rPr>
          <w:rFonts w:ascii="Times New Roman" w:hAnsi="Times New Roman" w:cs="Times New Roman"/>
        </w:rPr>
        <w:t>Typically, c</w:t>
      </w:r>
      <w:r w:rsidRPr="00AE5892">
        <w:rPr>
          <w:rFonts w:ascii="Times New Roman" w:hAnsi="Times New Roman" w:cs="Times New Roman"/>
        </w:rPr>
        <w:t xml:space="preserve">ase managers </w:t>
      </w:r>
      <w:r w:rsidR="006557EA">
        <w:rPr>
          <w:rFonts w:ascii="Times New Roman" w:hAnsi="Times New Roman" w:cs="Times New Roman"/>
        </w:rPr>
        <w:t>did the recrui</w:t>
      </w:r>
      <w:r w:rsidR="00F643DB">
        <w:rPr>
          <w:rFonts w:ascii="Times New Roman" w:hAnsi="Times New Roman" w:cs="Times New Roman"/>
        </w:rPr>
        <w:t>t</w:t>
      </w:r>
      <w:r w:rsidR="006557EA">
        <w:rPr>
          <w:rFonts w:ascii="Times New Roman" w:hAnsi="Times New Roman" w:cs="Times New Roman"/>
        </w:rPr>
        <w:t>ing</w:t>
      </w:r>
      <w:r w:rsidRPr="00AE5892">
        <w:rPr>
          <w:rFonts w:ascii="Times New Roman" w:hAnsi="Times New Roman" w:cs="Times New Roman"/>
        </w:rPr>
        <w:t xml:space="preserve"> with several commenting in interviews that they made determinations whether to introduce the program to an individual based on their assessment of an individual’s work readiness. </w:t>
      </w:r>
      <w:r w:rsidR="00650620">
        <w:rPr>
          <w:rFonts w:ascii="Times New Roman" w:hAnsi="Times New Roman" w:cs="Times New Roman"/>
        </w:rPr>
        <w:t xml:space="preserve"> </w:t>
      </w:r>
      <w:r w:rsidRPr="00AE5892">
        <w:rPr>
          <w:rFonts w:ascii="Times New Roman" w:hAnsi="Times New Roman" w:cs="Times New Roman"/>
        </w:rPr>
        <w:t xml:space="preserve">In many cases, case managers had worked with participants in other programs and </w:t>
      </w:r>
      <w:r w:rsidR="00650620">
        <w:rPr>
          <w:rFonts w:ascii="Times New Roman" w:hAnsi="Times New Roman" w:cs="Times New Roman"/>
        </w:rPr>
        <w:t xml:space="preserve">felt confident they could predict which </w:t>
      </w:r>
      <w:r w:rsidRPr="00AE5892">
        <w:rPr>
          <w:rFonts w:ascii="Times New Roman" w:hAnsi="Times New Roman" w:cs="Times New Roman"/>
        </w:rPr>
        <w:t>individual</w:t>
      </w:r>
      <w:r w:rsidR="00650620">
        <w:rPr>
          <w:rFonts w:ascii="Times New Roman" w:hAnsi="Times New Roman" w:cs="Times New Roman"/>
        </w:rPr>
        <w:t>s</w:t>
      </w:r>
      <w:r w:rsidRPr="00AE5892">
        <w:rPr>
          <w:rFonts w:ascii="Times New Roman" w:hAnsi="Times New Roman" w:cs="Times New Roman"/>
        </w:rPr>
        <w:t xml:space="preserve"> would persist in the Wage Pathways program. Participant word of mouth was another prominent source of recruitment. Two counties held workshops and orientations regularly, open to any residents, which introduced the Wage Pathways program alongside other programs. Other recruitment activities included individual mail</w:t>
      </w:r>
      <w:r w:rsidR="00A26140">
        <w:rPr>
          <w:rFonts w:ascii="Times New Roman" w:hAnsi="Times New Roman" w:cs="Times New Roman"/>
        </w:rPr>
        <w:t>ing</w:t>
      </w:r>
      <w:r w:rsidRPr="00AE5892">
        <w:rPr>
          <w:rFonts w:ascii="Times New Roman" w:hAnsi="Times New Roman" w:cs="Times New Roman"/>
        </w:rPr>
        <w:t xml:space="preserve">s/emails, direct outreach or phone calls to targeted individuals, and through industry partners. Three out of four sites had relationships with at least one local industry partner to recruit Wage Pathways participants. In these situations, </w:t>
      </w:r>
      <w:r w:rsidR="006557EA">
        <w:rPr>
          <w:rFonts w:ascii="Times New Roman" w:hAnsi="Times New Roman" w:cs="Times New Roman"/>
        </w:rPr>
        <w:t xml:space="preserve">employers </w:t>
      </w:r>
      <w:r w:rsidRPr="00AE5892">
        <w:rPr>
          <w:rFonts w:ascii="Times New Roman" w:hAnsi="Times New Roman" w:cs="Times New Roman"/>
        </w:rPr>
        <w:t xml:space="preserve">introduced </w:t>
      </w:r>
      <w:r w:rsidR="006557EA">
        <w:rPr>
          <w:rFonts w:ascii="Times New Roman" w:hAnsi="Times New Roman" w:cs="Times New Roman"/>
        </w:rPr>
        <w:t xml:space="preserve">new hires </w:t>
      </w:r>
      <w:r w:rsidRPr="00AE5892">
        <w:rPr>
          <w:rFonts w:ascii="Times New Roman" w:hAnsi="Times New Roman" w:cs="Times New Roman"/>
        </w:rPr>
        <w:t>to the Wage Pathways program and if an employee was interested a</w:t>
      </w:r>
      <w:r w:rsidR="00883191">
        <w:rPr>
          <w:rFonts w:ascii="Times New Roman" w:hAnsi="Times New Roman" w:cs="Times New Roman"/>
        </w:rPr>
        <w:t>nd met baseline qualifications,</w:t>
      </w:r>
      <w:r w:rsidRPr="00AE5892">
        <w:rPr>
          <w:rFonts w:ascii="Times New Roman" w:hAnsi="Times New Roman" w:cs="Times New Roman"/>
        </w:rPr>
        <w:t xml:space="preserve"> </w:t>
      </w:r>
      <w:r w:rsidR="006557EA">
        <w:rPr>
          <w:rFonts w:ascii="Times New Roman" w:hAnsi="Times New Roman" w:cs="Times New Roman"/>
        </w:rPr>
        <w:t>employers</w:t>
      </w:r>
      <w:r w:rsidRPr="00AE5892">
        <w:rPr>
          <w:rFonts w:ascii="Times New Roman" w:hAnsi="Times New Roman" w:cs="Times New Roman"/>
        </w:rPr>
        <w:t xml:space="preserve"> began a discussion process with a case manager. In one county, an employer advertised the Wage Pathways program as part of their recruitment strategy. </w:t>
      </w:r>
    </w:p>
    <w:p w14:paraId="08303B3D" w14:textId="112E9484" w:rsidR="00AE5892" w:rsidRPr="00AE5892" w:rsidRDefault="00A26140" w:rsidP="00F95777">
      <w:pPr>
        <w:jc w:val="both"/>
        <w:rPr>
          <w:rFonts w:ascii="Times New Roman" w:hAnsi="Times New Roman" w:cs="Times New Roman"/>
        </w:rPr>
      </w:pPr>
      <w:r>
        <w:rPr>
          <w:rFonts w:ascii="Times New Roman" w:hAnsi="Times New Roman" w:cs="Times New Roman"/>
        </w:rPr>
        <w:t xml:space="preserve">Central evaluation </w:t>
      </w:r>
      <w:r w:rsidR="006557EA">
        <w:rPr>
          <w:rFonts w:ascii="Times New Roman" w:hAnsi="Times New Roman" w:cs="Times New Roman"/>
        </w:rPr>
        <w:t xml:space="preserve">questions </w:t>
      </w:r>
      <w:r>
        <w:rPr>
          <w:rFonts w:ascii="Times New Roman" w:hAnsi="Times New Roman" w:cs="Times New Roman"/>
        </w:rPr>
        <w:t>are: 1) Did</w:t>
      </w:r>
      <w:r w:rsidR="00AE5892" w:rsidRPr="00AE5892">
        <w:rPr>
          <w:rFonts w:ascii="Times New Roman" w:hAnsi="Times New Roman" w:cs="Times New Roman"/>
        </w:rPr>
        <w:t xml:space="preserve"> the availability of incentives, as the focal element of the program, impact Wage Pathways participants’ job attainment or earnings advancement outcomes</w:t>
      </w:r>
      <w:r>
        <w:rPr>
          <w:rFonts w:ascii="Times New Roman" w:hAnsi="Times New Roman" w:cs="Times New Roman"/>
        </w:rPr>
        <w:t xml:space="preserve">? </w:t>
      </w:r>
      <w:r w:rsidR="00FE1807">
        <w:rPr>
          <w:rFonts w:ascii="Times New Roman" w:hAnsi="Times New Roman" w:cs="Times New Roman"/>
        </w:rPr>
        <w:t>a</w:t>
      </w:r>
      <w:r>
        <w:rPr>
          <w:rFonts w:ascii="Times New Roman" w:hAnsi="Times New Roman" w:cs="Times New Roman"/>
        </w:rPr>
        <w:t>nd 2)</w:t>
      </w:r>
      <w:r w:rsidR="00AE5892" w:rsidRPr="00AE5892">
        <w:rPr>
          <w:rFonts w:ascii="Times New Roman" w:hAnsi="Times New Roman" w:cs="Times New Roman"/>
        </w:rPr>
        <w:t xml:space="preserve"> </w:t>
      </w:r>
      <w:r w:rsidR="00650620">
        <w:rPr>
          <w:rFonts w:ascii="Times New Roman" w:hAnsi="Times New Roman" w:cs="Times New Roman"/>
        </w:rPr>
        <w:t xml:space="preserve"> </w:t>
      </w:r>
      <w:r w:rsidR="00FE1807">
        <w:rPr>
          <w:rFonts w:ascii="Times New Roman" w:hAnsi="Times New Roman" w:cs="Times New Roman"/>
        </w:rPr>
        <w:t xml:space="preserve">How did </w:t>
      </w:r>
      <w:r w:rsidR="00650620">
        <w:rPr>
          <w:rFonts w:ascii="Times New Roman" w:hAnsi="Times New Roman" w:cs="Times New Roman"/>
        </w:rPr>
        <w:t>programs</w:t>
      </w:r>
      <w:r w:rsidR="00AE5892" w:rsidRPr="00AE5892">
        <w:rPr>
          <w:rFonts w:ascii="Times New Roman" w:hAnsi="Times New Roman" w:cs="Times New Roman"/>
        </w:rPr>
        <w:t xml:space="preserve"> select participants</w:t>
      </w:r>
      <w:r w:rsidR="00FE1807">
        <w:rPr>
          <w:rFonts w:ascii="Times New Roman" w:hAnsi="Times New Roman" w:cs="Times New Roman"/>
        </w:rPr>
        <w:t>?</w:t>
      </w:r>
      <w:r w:rsidR="00AE5892" w:rsidRPr="00AE5892">
        <w:rPr>
          <w:rFonts w:ascii="Times New Roman" w:hAnsi="Times New Roman" w:cs="Times New Roman"/>
        </w:rPr>
        <w:t xml:space="preserve">. In interviews, </w:t>
      </w:r>
      <w:r w:rsidR="00A82FA5">
        <w:rPr>
          <w:rFonts w:ascii="Times New Roman" w:hAnsi="Times New Roman" w:cs="Times New Roman"/>
        </w:rPr>
        <w:t xml:space="preserve">we asked </w:t>
      </w:r>
      <w:r w:rsidR="00AE5892" w:rsidRPr="00AE5892">
        <w:rPr>
          <w:rFonts w:ascii="Times New Roman" w:hAnsi="Times New Roman" w:cs="Times New Roman"/>
        </w:rPr>
        <w:t xml:space="preserve">Wage Pathways case management staff at each site if selection processes were designed </w:t>
      </w:r>
      <w:r w:rsidR="00A82FA5">
        <w:rPr>
          <w:rFonts w:ascii="Times New Roman" w:hAnsi="Times New Roman" w:cs="Times New Roman"/>
        </w:rPr>
        <w:t xml:space="preserve">to </w:t>
      </w:r>
      <w:r w:rsidR="00AE5892" w:rsidRPr="00AE5892">
        <w:rPr>
          <w:rFonts w:ascii="Times New Roman" w:hAnsi="Times New Roman" w:cs="Times New Roman"/>
        </w:rPr>
        <w:t xml:space="preserve">identify and enroll individuals </w:t>
      </w:r>
      <w:r w:rsidR="00A82FA5">
        <w:rPr>
          <w:rFonts w:ascii="Times New Roman" w:hAnsi="Times New Roman" w:cs="Times New Roman"/>
        </w:rPr>
        <w:t>who</w:t>
      </w:r>
      <w:r w:rsidR="00AE5892" w:rsidRPr="00AE5892">
        <w:rPr>
          <w:rFonts w:ascii="Times New Roman" w:hAnsi="Times New Roman" w:cs="Times New Roman"/>
        </w:rPr>
        <w:t xml:space="preserve"> were more likely to achieve successful outcomes as a result of the availability of cash incentives. </w:t>
      </w:r>
      <w:r w:rsidR="00A82FA5">
        <w:rPr>
          <w:rFonts w:ascii="Times New Roman" w:hAnsi="Times New Roman" w:cs="Times New Roman"/>
        </w:rPr>
        <w:t xml:space="preserve"> C</w:t>
      </w:r>
      <w:r w:rsidR="00AE5892" w:rsidRPr="00AE5892">
        <w:rPr>
          <w:rFonts w:ascii="Times New Roman" w:hAnsi="Times New Roman" w:cs="Times New Roman"/>
        </w:rPr>
        <w:t xml:space="preserve">ase managers </w:t>
      </w:r>
      <w:r w:rsidR="00A82FA5">
        <w:rPr>
          <w:rFonts w:ascii="Times New Roman" w:hAnsi="Times New Roman" w:cs="Times New Roman"/>
        </w:rPr>
        <w:t xml:space="preserve">did not have a common theory </w:t>
      </w:r>
      <w:r w:rsidR="00AE5892" w:rsidRPr="00AE5892">
        <w:rPr>
          <w:rFonts w:ascii="Times New Roman" w:hAnsi="Times New Roman" w:cs="Times New Roman"/>
        </w:rPr>
        <w:t xml:space="preserve">how to identify ideal candidates for the program. </w:t>
      </w:r>
      <w:r w:rsidR="00A82FA5">
        <w:rPr>
          <w:rFonts w:ascii="Times New Roman" w:hAnsi="Times New Roman" w:cs="Times New Roman"/>
        </w:rPr>
        <w:t xml:space="preserve"> </w:t>
      </w:r>
      <w:r w:rsidR="00AE5892" w:rsidRPr="00AE5892">
        <w:rPr>
          <w:rFonts w:ascii="Times New Roman" w:hAnsi="Times New Roman" w:cs="Times New Roman"/>
        </w:rPr>
        <w:t xml:space="preserve">Approximately half of those interviewed </w:t>
      </w:r>
      <w:r w:rsidR="00A82FA5">
        <w:rPr>
          <w:rFonts w:ascii="Times New Roman" w:hAnsi="Times New Roman" w:cs="Times New Roman"/>
        </w:rPr>
        <w:t>thought</w:t>
      </w:r>
      <w:r w:rsidR="00AE5892" w:rsidRPr="00AE5892">
        <w:rPr>
          <w:rFonts w:ascii="Times New Roman" w:hAnsi="Times New Roman" w:cs="Times New Roman"/>
        </w:rPr>
        <w:t xml:space="preserve"> individuals </w:t>
      </w:r>
      <w:r w:rsidR="00A82FA5">
        <w:rPr>
          <w:rFonts w:ascii="Times New Roman" w:hAnsi="Times New Roman" w:cs="Times New Roman"/>
        </w:rPr>
        <w:t>who</w:t>
      </w:r>
      <w:r w:rsidR="00AE5892" w:rsidRPr="00AE5892">
        <w:rPr>
          <w:rFonts w:ascii="Times New Roman" w:hAnsi="Times New Roman" w:cs="Times New Roman"/>
        </w:rPr>
        <w:t xml:space="preserve"> were accomplishing the Wage Pathways milestones likely would have achieved the milestones even without the incentives. </w:t>
      </w:r>
      <w:r w:rsidR="00A82FA5">
        <w:rPr>
          <w:rFonts w:ascii="Times New Roman" w:hAnsi="Times New Roman" w:cs="Times New Roman"/>
        </w:rPr>
        <w:t xml:space="preserve"> </w:t>
      </w:r>
      <w:r w:rsidR="00AE5892" w:rsidRPr="00AE5892">
        <w:rPr>
          <w:rFonts w:ascii="Times New Roman" w:hAnsi="Times New Roman" w:cs="Times New Roman"/>
        </w:rPr>
        <w:t>However, the</w:t>
      </w:r>
      <w:r w:rsidR="00A82FA5">
        <w:rPr>
          <w:rFonts w:ascii="Times New Roman" w:hAnsi="Times New Roman" w:cs="Times New Roman"/>
        </w:rPr>
        <w:t>y had</w:t>
      </w:r>
      <w:r w:rsidR="00AE5892" w:rsidRPr="00AE5892">
        <w:rPr>
          <w:rFonts w:ascii="Times New Roman" w:hAnsi="Times New Roman" w:cs="Times New Roman"/>
        </w:rPr>
        <w:t xml:space="preserve"> numerous anecdotes about individuals using incentives to address critical barriers such as car repairs, tuition payments, testing fees, or challenging housing situations. The</w:t>
      </w:r>
      <w:r w:rsidR="00A82FA5">
        <w:rPr>
          <w:rFonts w:ascii="Times New Roman" w:hAnsi="Times New Roman" w:cs="Times New Roman"/>
        </w:rPr>
        <w:t>y</w:t>
      </w:r>
      <w:r w:rsidR="00AE5892" w:rsidRPr="00AE5892">
        <w:rPr>
          <w:rFonts w:ascii="Times New Roman" w:hAnsi="Times New Roman" w:cs="Times New Roman"/>
        </w:rPr>
        <w:t xml:space="preserve"> agree</w:t>
      </w:r>
      <w:r w:rsidR="00A82FA5">
        <w:rPr>
          <w:rFonts w:ascii="Times New Roman" w:hAnsi="Times New Roman" w:cs="Times New Roman"/>
        </w:rPr>
        <w:t>d</w:t>
      </w:r>
      <w:r w:rsidR="00AE5892" w:rsidRPr="00AE5892">
        <w:rPr>
          <w:rFonts w:ascii="Times New Roman" w:hAnsi="Times New Roman" w:cs="Times New Roman"/>
        </w:rPr>
        <w:t xml:space="preserve"> that individuals ready and motivated to work could use the incentives to overcome barriers or advance further faster if the incentives were used by the participants for barrier removal or career advancement purposes. </w:t>
      </w:r>
    </w:p>
    <w:p w14:paraId="3D5D565F" w14:textId="19853004" w:rsidR="00AE5892" w:rsidRPr="00AE5892" w:rsidRDefault="00AE5892" w:rsidP="00F95777">
      <w:pPr>
        <w:jc w:val="both"/>
        <w:rPr>
          <w:rFonts w:ascii="Times New Roman" w:hAnsi="Times New Roman" w:cs="Times New Roman"/>
        </w:rPr>
      </w:pPr>
      <w:r w:rsidRPr="00AE5892">
        <w:rPr>
          <w:rFonts w:ascii="Times New Roman" w:hAnsi="Times New Roman" w:cs="Times New Roman"/>
        </w:rPr>
        <w:t>At this point</w:t>
      </w:r>
      <w:r w:rsidR="00650620">
        <w:rPr>
          <w:rFonts w:ascii="Times New Roman" w:hAnsi="Times New Roman" w:cs="Times New Roman"/>
        </w:rPr>
        <w:t>,</w:t>
      </w:r>
      <w:r w:rsidRPr="00AE5892">
        <w:rPr>
          <w:rFonts w:ascii="Times New Roman" w:hAnsi="Times New Roman" w:cs="Times New Roman"/>
        </w:rPr>
        <w:t xml:space="preserve"> we emphasize that the quantitative evaluation of Wage Pathways compared before versus after outcomes for persons in counties offering Wage Pathways to persons in counties not offering Wage Pathways.  Our implementation study revealed a tendency for clients more likely to benefit from Wage </w:t>
      </w:r>
      <w:r w:rsidRPr="00AE5892">
        <w:rPr>
          <w:rFonts w:ascii="Times New Roman" w:hAnsi="Times New Roman" w:cs="Times New Roman"/>
        </w:rPr>
        <w:lastRenderedPageBreak/>
        <w:t xml:space="preserve">Pathways </w:t>
      </w:r>
      <w:r w:rsidR="007105D4">
        <w:rPr>
          <w:rFonts w:ascii="Times New Roman" w:hAnsi="Times New Roman" w:cs="Times New Roman"/>
        </w:rPr>
        <w:t>to be</w:t>
      </w:r>
      <w:r w:rsidRPr="00AE5892">
        <w:rPr>
          <w:rFonts w:ascii="Times New Roman" w:hAnsi="Times New Roman" w:cs="Times New Roman"/>
        </w:rPr>
        <w:t xml:space="preserve"> guided toward the program.  In a quantitative evaluation comparing participants versus non-participants</w:t>
      </w:r>
      <w:r w:rsidR="007105D4">
        <w:rPr>
          <w:rFonts w:ascii="Times New Roman" w:hAnsi="Times New Roman" w:cs="Times New Roman"/>
        </w:rPr>
        <w:t>,</w:t>
      </w:r>
      <w:r w:rsidRPr="00AE5892">
        <w:rPr>
          <w:rFonts w:ascii="Times New Roman" w:hAnsi="Times New Roman" w:cs="Times New Roman"/>
        </w:rPr>
        <w:t xml:space="preserve"> this guidance of certain clients toward Wage Pathways would have resulted in an overstatement of the efficacy of the program.  Our evaluation does not suffer from this bias</w:t>
      </w:r>
      <w:r w:rsidR="007105D4">
        <w:rPr>
          <w:rFonts w:ascii="Times New Roman" w:hAnsi="Times New Roman" w:cs="Times New Roman"/>
        </w:rPr>
        <w:t>,</w:t>
      </w:r>
      <w:r w:rsidRPr="00AE5892">
        <w:rPr>
          <w:rFonts w:ascii="Times New Roman" w:hAnsi="Times New Roman" w:cs="Times New Roman"/>
        </w:rPr>
        <w:t xml:space="preserve"> as we compare </w:t>
      </w:r>
      <w:r w:rsidR="00176BD1">
        <w:rPr>
          <w:rFonts w:ascii="Times New Roman" w:hAnsi="Times New Roman" w:cs="Times New Roman"/>
        </w:rPr>
        <w:t xml:space="preserve">clients who were </w:t>
      </w:r>
      <w:r w:rsidRPr="00AE5892">
        <w:rPr>
          <w:rFonts w:ascii="Times New Roman" w:hAnsi="Times New Roman" w:cs="Times New Roman"/>
        </w:rPr>
        <w:t xml:space="preserve">eligible </w:t>
      </w:r>
      <w:r w:rsidR="00176BD1">
        <w:rPr>
          <w:rFonts w:ascii="Times New Roman" w:hAnsi="Times New Roman" w:cs="Times New Roman"/>
        </w:rPr>
        <w:t>for WP to clients who were</w:t>
      </w:r>
      <w:r w:rsidRPr="00AE5892">
        <w:rPr>
          <w:rFonts w:ascii="Times New Roman" w:hAnsi="Times New Roman" w:cs="Times New Roman"/>
        </w:rPr>
        <w:t xml:space="preserve"> ineligib</w:t>
      </w:r>
      <w:r w:rsidR="00176BD1">
        <w:rPr>
          <w:rFonts w:ascii="Times New Roman" w:hAnsi="Times New Roman" w:cs="Times New Roman"/>
        </w:rPr>
        <w:t>l</w:t>
      </w:r>
      <w:r w:rsidRPr="00AE5892">
        <w:rPr>
          <w:rFonts w:ascii="Times New Roman" w:hAnsi="Times New Roman" w:cs="Times New Roman"/>
        </w:rPr>
        <w:t>e (as determined by county of residence) rather than participants versus non-participants.  Our finding of positive program impacts is not biased by how case managers directed clients toward Wage Pathways.  We designed our evaluation strategy anticipating</w:t>
      </w:r>
      <w:r w:rsidR="007105D4">
        <w:rPr>
          <w:rFonts w:ascii="Times New Roman" w:hAnsi="Times New Roman" w:cs="Times New Roman"/>
        </w:rPr>
        <w:t xml:space="preserve"> that</w:t>
      </w:r>
      <w:r w:rsidRPr="00AE5892">
        <w:rPr>
          <w:rFonts w:ascii="Times New Roman" w:hAnsi="Times New Roman" w:cs="Times New Roman"/>
        </w:rPr>
        <w:t xml:space="preserve"> case managers would direct clients with better prospects toward Wage Pathways. </w:t>
      </w:r>
    </w:p>
    <w:p w14:paraId="40C751BB" w14:textId="467C06DB" w:rsidR="00AE5892" w:rsidRPr="00AE5892" w:rsidRDefault="00A82FA5" w:rsidP="00F95777">
      <w:pPr>
        <w:jc w:val="both"/>
        <w:rPr>
          <w:rFonts w:ascii="Times New Roman" w:hAnsi="Times New Roman" w:cs="Times New Roman"/>
        </w:rPr>
      </w:pPr>
      <w:r>
        <w:rPr>
          <w:rFonts w:ascii="Times New Roman" w:hAnsi="Times New Roman" w:cs="Times New Roman"/>
        </w:rPr>
        <w:t xml:space="preserve">All </w:t>
      </w:r>
      <w:r w:rsidR="00AE5892" w:rsidRPr="00AE5892">
        <w:rPr>
          <w:rFonts w:ascii="Times New Roman" w:hAnsi="Times New Roman" w:cs="Times New Roman"/>
        </w:rPr>
        <w:t>counties adhered to the intake guidelines as provided by ODJFS; however, determination of work readiness varied across sites. In all four counties, if someone is eligible or participating in CCMEP and ready for work or currently employed, the individual is a potential Wage Pathways participant. Largely, these individuals were already in CCMEP and participating in another program (e.g. a summer employment program or other youth-serving workforce development initiative). In a large majority of cases, the case managers were familiar with the potential participants and their career plans, goals, and barriers, and this familiarity helped case managers make their own assessments of each individual’s work readiness – usually based on a track record of reliable attendance with no disciplinary actions. One county reported they had so many potential participants under these criteria, they prioritized individuals dealing with homelessness, exiting foster care, or not in school. One county required individuals to obtain employment as a demonstration of work readiness, and individuals did not become participants until they started working. Another county conducted recruitment from the pool of individuals that had completed an 8-week work readiness course prior to Wage Pathways.</w:t>
      </w:r>
    </w:p>
    <w:p w14:paraId="399736E5" w14:textId="77777777" w:rsidR="00AE5892" w:rsidRDefault="00AE5892" w:rsidP="00F95777">
      <w:pPr>
        <w:jc w:val="both"/>
        <w:rPr>
          <w:rFonts w:ascii="Times New Roman" w:eastAsia="Malgun Gothic" w:hAnsi="Times New Roman" w:cs="Times New Roman"/>
          <w:sz w:val="24"/>
          <w:szCs w:val="24"/>
        </w:rPr>
      </w:pPr>
      <w:r w:rsidRPr="00AE5892">
        <w:rPr>
          <w:rFonts w:ascii="Times New Roman" w:hAnsi="Times New Roman" w:cs="Times New Roman"/>
        </w:rPr>
        <w:t>All counties reported that if an individual’s IOP goal was more focused on education, this individual was excluded from the potential participant pool. All of the case managers agreed that Wage Pathways fits better with individuals who do not have barriers that will prevent work.</w:t>
      </w:r>
      <w:r>
        <w:rPr>
          <w:rFonts w:ascii="Times New Roman" w:eastAsia="Malgun Gothic" w:hAnsi="Times New Roman" w:cs="Times New Roman"/>
          <w:sz w:val="24"/>
          <w:szCs w:val="24"/>
        </w:rPr>
        <w:t xml:space="preserve"> </w:t>
      </w:r>
    </w:p>
    <w:p w14:paraId="7921BF5D" w14:textId="77777777" w:rsidR="00176BD1" w:rsidRPr="000429AC" w:rsidRDefault="00176BD1" w:rsidP="000429AC">
      <w:pPr>
        <w:pStyle w:val="Heading2"/>
        <w:rPr>
          <w:rFonts w:ascii="Times New Roman" w:hAnsi="Times New Roman" w:cs="Times New Roman"/>
        </w:rPr>
      </w:pPr>
      <w:bookmarkStart w:id="11" w:name="_Toc20468465"/>
      <w:r w:rsidRPr="000429AC">
        <w:rPr>
          <w:rFonts w:ascii="Times New Roman" w:hAnsi="Times New Roman" w:cs="Times New Roman"/>
        </w:rPr>
        <w:t>Integrating Wage Pathways with Other Workforce Development Programs and Services</w:t>
      </w:r>
      <w:bookmarkEnd w:id="11"/>
    </w:p>
    <w:p w14:paraId="1EB73A43" w14:textId="77777777" w:rsidR="00176BD1" w:rsidRDefault="00176BD1" w:rsidP="00F95777">
      <w:pPr>
        <w:jc w:val="both"/>
        <w:rPr>
          <w:rFonts w:ascii="Times New Roman" w:hAnsi="Times New Roman" w:cs="Times New Roman"/>
        </w:rPr>
      </w:pPr>
      <w:r w:rsidRPr="00176BD1">
        <w:rPr>
          <w:rFonts w:ascii="Times New Roman" w:hAnsi="Times New Roman" w:cs="Times New Roman"/>
        </w:rPr>
        <w:t>The Wage Pathways intervention, as described by the ODJFS, included several elements that were intended to enhance the utilization of cash incentives.</w:t>
      </w:r>
    </w:p>
    <w:p w14:paraId="1482F92C" w14:textId="7F9DD55D" w:rsidR="00ED2272" w:rsidRDefault="00ED2272" w:rsidP="00ED2272">
      <w:pPr>
        <w:jc w:val="center"/>
        <w:rPr>
          <w:rFonts w:ascii="Times New Roman" w:hAnsi="Times New Roman" w:cs="Times New Roman"/>
        </w:rPr>
      </w:pPr>
      <w:r w:rsidRPr="00F1162B">
        <w:rPr>
          <w:rFonts w:ascii="Times New Roman" w:hAnsi="Times New Roman" w:cs="Times New Roman"/>
          <w:sz w:val="24"/>
          <w:szCs w:val="24"/>
        </w:rPr>
        <w:t xml:space="preserve">Figure </w:t>
      </w:r>
      <w:r>
        <w:rPr>
          <w:rFonts w:ascii="Times New Roman" w:hAnsi="Times New Roman" w:cs="Times New Roman"/>
          <w:sz w:val="24"/>
          <w:szCs w:val="24"/>
        </w:rPr>
        <w:t>1</w:t>
      </w:r>
      <w:r w:rsidRPr="00F1162B">
        <w:rPr>
          <w:rFonts w:ascii="Times New Roman" w:hAnsi="Times New Roman" w:cs="Times New Roman"/>
          <w:sz w:val="24"/>
          <w:szCs w:val="24"/>
        </w:rPr>
        <w:t>: Wage Pathways Participant Flo</w:t>
      </w:r>
      <w:r>
        <w:rPr>
          <w:rFonts w:ascii="Times New Roman" w:hAnsi="Times New Roman" w:cs="Times New Roman"/>
          <w:sz w:val="24"/>
          <w:szCs w:val="24"/>
        </w:rPr>
        <w:t>w</w:t>
      </w:r>
    </w:p>
    <w:p w14:paraId="010ADE79" w14:textId="6E8034F6" w:rsidR="00176BD1" w:rsidRDefault="00176BD1" w:rsidP="00B076BB">
      <w:pPr>
        <w:jc w:val="center"/>
        <w:rPr>
          <w:rFonts w:ascii="Times New Roman" w:hAnsi="Times New Roman" w:cs="Times New Roman"/>
          <w:sz w:val="24"/>
          <w:szCs w:val="24"/>
        </w:rPr>
      </w:pPr>
      <w:r w:rsidRPr="00F1162B">
        <w:rPr>
          <w:rFonts w:ascii="Times New Roman" w:hAnsi="Times New Roman" w:cs="Times New Roman"/>
          <w:noProof/>
          <w:sz w:val="24"/>
          <w:szCs w:val="24"/>
        </w:rPr>
        <mc:AlternateContent>
          <mc:Choice Requires="wpg">
            <w:drawing>
              <wp:inline distT="0" distB="0" distL="0" distR="0" wp14:anchorId="73A35228" wp14:editId="1C4B4F06">
                <wp:extent cx="5829300" cy="2425700"/>
                <wp:effectExtent l="0" t="0" r="19050" b="12700"/>
                <wp:docPr id="3" name="Group 3" descr="This graphic displays the key features on the intervention- working 120 hours per month, giving clients access to the Wage Pathway Tool, the tool for finance and budgeting, cooaching and follow-up, allowing for short term training and finally cash incentives&#10;" title="Figure for participant flow"/>
                <wp:cNvGraphicFramePr/>
                <a:graphic xmlns:a="http://schemas.openxmlformats.org/drawingml/2006/main">
                  <a:graphicData uri="http://schemas.microsoft.com/office/word/2010/wordprocessingGroup">
                    <wpg:wgp>
                      <wpg:cNvGrpSpPr/>
                      <wpg:grpSpPr>
                        <a:xfrm>
                          <a:off x="0" y="0"/>
                          <a:ext cx="5829300" cy="2425700"/>
                          <a:chOff x="0" y="0"/>
                          <a:chExt cx="5829300" cy="2425700"/>
                        </a:xfrm>
                      </wpg:grpSpPr>
                      <wps:wsp>
                        <wps:cNvPr id="4" name="Text Box 4"/>
                        <wps:cNvSpPr txBox="1"/>
                        <wps:spPr>
                          <a:xfrm>
                            <a:off x="12700" y="0"/>
                            <a:ext cx="1663700" cy="1130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1D3BAB9" w14:textId="77777777" w:rsidR="00C45483" w:rsidRPr="00EA1824" w:rsidRDefault="00C45483" w:rsidP="00176BD1">
                              <w:pPr>
                                <w:spacing w:after="0" w:line="240" w:lineRule="auto"/>
                                <w:rPr>
                                  <w:rFonts w:ascii="Times New Roman" w:hAnsi="Times New Roman" w:cs="Times New Roman"/>
                                  <w:u w:val="single"/>
                                </w:rPr>
                              </w:pPr>
                              <w:r w:rsidRPr="00EA1824">
                                <w:rPr>
                                  <w:rFonts w:ascii="Times New Roman" w:hAnsi="Times New Roman" w:cs="Times New Roman"/>
                                  <w:u w:val="single"/>
                                </w:rPr>
                                <w:t>Eligibility Determination</w:t>
                              </w:r>
                            </w:p>
                            <w:p w14:paraId="72AF311B" w14:textId="77777777" w:rsidR="00C45483" w:rsidRPr="00EA1824" w:rsidRDefault="00C45483" w:rsidP="00176BD1">
                              <w:pPr>
                                <w:pStyle w:val="ListParagraph"/>
                                <w:numPr>
                                  <w:ilvl w:val="0"/>
                                  <w:numId w:val="5"/>
                                </w:numPr>
                                <w:spacing w:after="0" w:line="240" w:lineRule="auto"/>
                                <w:rPr>
                                  <w:rFonts w:ascii="Times New Roman" w:hAnsi="Times New Roman" w:cs="Times New Roman"/>
                                </w:rPr>
                              </w:pPr>
                              <w:r w:rsidRPr="00EA1824">
                                <w:rPr>
                                  <w:rFonts w:ascii="Times New Roman" w:hAnsi="Times New Roman" w:cs="Times New Roman"/>
                                </w:rPr>
                                <w:t>WIOA-eligible</w:t>
                              </w:r>
                            </w:p>
                            <w:p w14:paraId="45FBDA36" w14:textId="77777777" w:rsidR="00C45483" w:rsidRPr="00EA1824" w:rsidRDefault="00C45483" w:rsidP="00176BD1">
                              <w:pPr>
                                <w:pStyle w:val="ListParagraph"/>
                                <w:numPr>
                                  <w:ilvl w:val="0"/>
                                  <w:numId w:val="5"/>
                                </w:numPr>
                                <w:spacing w:after="0" w:line="240" w:lineRule="auto"/>
                                <w:rPr>
                                  <w:rFonts w:ascii="Times New Roman" w:hAnsi="Times New Roman" w:cs="Times New Roman"/>
                                </w:rPr>
                              </w:pPr>
                              <w:r w:rsidRPr="00EA1824">
                                <w:rPr>
                                  <w:rFonts w:ascii="Times New Roman" w:hAnsi="Times New Roman" w:cs="Times New Roman"/>
                                </w:rPr>
                                <w:t>TANF co-enrollment encouraged</w:t>
                              </w:r>
                            </w:p>
                            <w:p w14:paraId="69EF17C4" w14:textId="77777777" w:rsidR="00C45483" w:rsidRPr="00EA1824" w:rsidRDefault="00C45483" w:rsidP="00176BD1">
                              <w:pPr>
                                <w:pStyle w:val="ListParagraph"/>
                                <w:numPr>
                                  <w:ilvl w:val="0"/>
                                  <w:numId w:val="5"/>
                                </w:numPr>
                                <w:spacing w:after="0" w:line="240" w:lineRule="auto"/>
                                <w:rPr>
                                  <w:rFonts w:ascii="Times New Roman" w:hAnsi="Times New Roman" w:cs="Times New Roman"/>
                                </w:rPr>
                              </w:pPr>
                              <w:r w:rsidRPr="00EA1824">
                                <w:rPr>
                                  <w:rFonts w:ascii="Times New Roman" w:hAnsi="Times New Roman" w:cs="Times New Roman"/>
                                </w:rPr>
                                <w:t>18-24 years old</w:t>
                              </w:r>
                            </w:p>
                            <w:p w14:paraId="146FA55B" w14:textId="77777777" w:rsidR="00C45483" w:rsidRDefault="00C45483" w:rsidP="00176BD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82800" y="0"/>
                            <a:ext cx="1663700" cy="1130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E7A7540" w14:textId="77777777" w:rsidR="00C45483" w:rsidRPr="002B4767" w:rsidRDefault="00C45483" w:rsidP="00176BD1">
                              <w:pPr>
                                <w:spacing w:after="0" w:line="240" w:lineRule="auto"/>
                                <w:rPr>
                                  <w:rFonts w:ascii="Times New Roman" w:hAnsi="Times New Roman" w:cs="Times New Roman"/>
                                  <w:u w:val="single"/>
                                </w:rPr>
                              </w:pPr>
                              <w:r w:rsidRPr="002B4767">
                                <w:rPr>
                                  <w:rFonts w:ascii="Times New Roman" w:hAnsi="Times New Roman" w:cs="Times New Roman"/>
                                  <w:u w:val="single"/>
                                </w:rPr>
                                <w:t>CCMEP Participation</w:t>
                              </w:r>
                            </w:p>
                            <w:p w14:paraId="6AF116A7"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Assessment</w:t>
                              </w:r>
                            </w:p>
                            <w:p w14:paraId="3DFEEEFE"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Individual Opportunity Plan (IOP)</w:t>
                              </w:r>
                            </w:p>
                            <w:p w14:paraId="78235685"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Barrier removal</w:t>
                              </w:r>
                            </w:p>
                            <w:p w14:paraId="7EBB1AC2" w14:textId="77777777" w:rsidR="00C45483" w:rsidRDefault="00C45483" w:rsidP="00176BD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127500" y="0"/>
                            <a:ext cx="1663700" cy="1130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FB96A07" w14:textId="77777777" w:rsidR="00C45483" w:rsidRPr="002B4767" w:rsidRDefault="00C45483" w:rsidP="00176BD1">
                              <w:pPr>
                                <w:spacing w:after="0" w:line="240" w:lineRule="auto"/>
                                <w:rPr>
                                  <w:rFonts w:ascii="Times New Roman" w:hAnsi="Times New Roman" w:cs="Times New Roman"/>
                                  <w:u w:val="single"/>
                                </w:rPr>
                              </w:pPr>
                              <w:r w:rsidRPr="002B4767">
                                <w:rPr>
                                  <w:rFonts w:ascii="Times New Roman" w:hAnsi="Times New Roman" w:cs="Times New Roman"/>
                                  <w:u w:val="single"/>
                                </w:rPr>
                                <w:t>Wage Pathway Selection</w:t>
                              </w:r>
                            </w:p>
                            <w:p w14:paraId="472575DE"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Interested and able for immediate work, 120 hours per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1435100"/>
                            <a:ext cx="5829300" cy="990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4E45024" w14:textId="77777777" w:rsidR="00C45483" w:rsidRPr="002B4767" w:rsidRDefault="00C45483" w:rsidP="00176BD1">
                              <w:pPr>
                                <w:spacing w:after="0" w:line="240" w:lineRule="auto"/>
                                <w:rPr>
                                  <w:rFonts w:ascii="Times New Roman" w:hAnsi="Times New Roman" w:cs="Times New Roman"/>
                                  <w:u w:val="single"/>
                                </w:rPr>
                              </w:pPr>
                              <w:r w:rsidRPr="002B4767">
                                <w:rPr>
                                  <w:rFonts w:ascii="Times New Roman" w:hAnsi="Times New Roman" w:cs="Times New Roman"/>
                                  <w:u w:val="single"/>
                                </w:rPr>
                                <w:t>Wage Pathway Intervention</w:t>
                              </w:r>
                            </w:p>
                            <w:p w14:paraId="65E33A03" w14:textId="4CC25D58" w:rsidR="00C45483" w:rsidRPr="002B4767" w:rsidRDefault="00C45483" w:rsidP="00176BD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Prioritize </w:t>
                              </w:r>
                              <w:r w:rsidRPr="002B4767">
                                <w:rPr>
                                  <w:rFonts w:ascii="Times New Roman" w:hAnsi="Times New Roman" w:cs="Times New Roman"/>
                                </w:rPr>
                                <w:t>Work</w:t>
                              </w:r>
                              <w:r>
                                <w:rPr>
                                  <w:rFonts w:ascii="Times New Roman" w:hAnsi="Times New Roman" w:cs="Times New Roman"/>
                                </w:rPr>
                                <w:t xml:space="preserve"> -</w:t>
                              </w:r>
                              <w:r w:rsidRPr="002B4767">
                                <w:rPr>
                                  <w:rFonts w:ascii="Times New Roman" w:hAnsi="Times New Roman" w:cs="Times New Roman"/>
                                </w:rPr>
                                <w:t xml:space="preserve"> 120 hours per month</w:t>
                              </w:r>
                            </w:p>
                            <w:p w14:paraId="59357A20"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Availability of Wage Pathway Tool</w:t>
                              </w:r>
                            </w:p>
                            <w:p w14:paraId="739B132F"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Financial Learning and Budget Calculator Tool</w:t>
                              </w:r>
                            </w:p>
                            <w:p w14:paraId="1F3BF20E"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Advancement coaching and intensive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086100" y="1612900"/>
                            <a:ext cx="2417445" cy="622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8E9F3F2" w14:textId="77777777" w:rsidR="00C45483" w:rsidRPr="002B4767" w:rsidRDefault="00C45483" w:rsidP="00176BD1">
                              <w:pPr>
                                <w:pStyle w:val="ListParagraph"/>
                                <w:numPr>
                                  <w:ilvl w:val="0"/>
                                  <w:numId w:val="6"/>
                                </w:numPr>
                                <w:spacing w:after="0" w:line="240" w:lineRule="auto"/>
                                <w:rPr>
                                  <w:rFonts w:ascii="Times New Roman" w:hAnsi="Times New Roman" w:cs="Times New Roman"/>
                                </w:rPr>
                              </w:pPr>
                              <w:r w:rsidRPr="002B4767">
                                <w:rPr>
                                  <w:rFonts w:ascii="Times New Roman" w:hAnsi="Times New Roman" w:cs="Times New Roman"/>
                                </w:rPr>
                                <w:t>Short-term training possibilities</w:t>
                              </w:r>
                            </w:p>
                            <w:p w14:paraId="42407E61" w14:textId="77777777" w:rsidR="00C45483" w:rsidRPr="002B4767" w:rsidRDefault="00C45483" w:rsidP="00176BD1">
                              <w:pPr>
                                <w:pStyle w:val="ListParagraph"/>
                                <w:numPr>
                                  <w:ilvl w:val="0"/>
                                  <w:numId w:val="6"/>
                                </w:numPr>
                                <w:rPr>
                                  <w:rFonts w:ascii="Times New Roman" w:hAnsi="Times New Roman" w:cs="Times New Roman"/>
                                </w:rPr>
                              </w:pPr>
                              <w:r w:rsidRPr="002B4767">
                                <w:rPr>
                                  <w:rFonts w:ascii="Times New Roman" w:hAnsi="Times New Roman" w:cs="Times New Roman"/>
                                </w:rPr>
                                <w:t>Cash incentives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Straight Arrow Connector 9"/>
                        <wps:cNvCnPr/>
                        <wps:spPr>
                          <a:xfrm>
                            <a:off x="1689100" y="558800"/>
                            <a:ext cx="3937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flipV="1">
                            <a:off x="3759200" y="558800"/>
                            <a:ext cx="381000" cy="127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73A35228" id="Group 3" o:spid="_x0000_s1026" alt="Title: Figure for participant flow - Description: This graphic displays the key features on the intervention- working 120 hours per month, giving clients access to the Wage Pathway Tool, the tool for finance and budgeting, cooaching and follow-up, allowing for short term training and finally cash incentives&#10;" style="width:459pt;height:191pt;mso-position-horizontal-relative:char;mso-position-vertical-relative:line" coordsize="58293,2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">
                <v:shapetype id="_x0000_t202" coordsize="21600,21600" o:spt="202" path="m,l,21600r21600,l21600,xe">
                  <v:stroke joinstyle="miter"/>
                  <v:path gradientshapeok="t" o:connecttype="rect"/>
                </v:shapetype>
                <v:shape id="Text Box 4" o:spid="_x0000_s1027" type="#_x0000_t202" style="position:absolute;left:127;width:16637;height:1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oKwgAAANoAAAAPAAAAZHJzL2Rvd25yZXYueG1sRI9Lq8Iw&#10;FIT3gv8hHMGdpop4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AcKkoKwgAAANoAAAAPAAAA&#10;AAAAAAAAAAAAAAcCAABkcnMvZG93bnJldi54bWxQSwUGAAAAAAMAAwC3AAAA9gIAAAAA&#10;" filled="f" strokecolor="black [3213]">
                  <v:textbox>
                    <w:txbxContent>
                      <w:p w14:paraId="41D3BAB9" w14:textId="77777777" w:rsidR="00C45483" w:rsidRPr="00EA1824" w:rsidRDefault="00C45483" w:rsidP="00176BD1">
                        <w:pPr>
                          <w:spacing w:after="0" w:line="240" w:lineRule="auto"/>
                          <w:rPr>
                            <w:rFonts w:ascii="Times New Roman" w:hAnsi="Times New Roman" w:cs="Times New Roman"/>
                            <w:u w:val="single"/>
                          </w:rPr>
                        </w:pPr>
                        <w:r w:rsidRPr="00EA1824">
                          <w:rPr>
                            <w:rFonts w:ascii="Times New Roman" w:hAnsi="Times New Roman" w:cs="Times New Roman"/>
                            <w:u w:val="single"/>
                          </w:rPr>
                          <w:t>Eligibility Determination</w:t>
                        </w:r>
                      </w:p>
                      <w:p w14:paraId="72AF311B" w14:textId="77777777" w:rsidR="00C45483" w:rsidRPr="00EA1824" w:rsidRDefault="00C45483" w:rsidP="00176BD1">
                        <w:pPr>
                          <w:pStyle w:val="ListParagraph"/>
                          <w:numPr>
                            <w:ilvl w:val="0"/>
                            <w:numId w:val="5"/>
                          </w:numPr>
                          <w:spacing w:after="0" w:line="240" w:lineRule="auto"/>
                          <w:rPr>
                            <w:rFonts w:ascii="Times New Roman" w:hAnsi="Times New Roman" w:cs="Times New Roman"/>
                          </w:rPr>
                        </w:pPr>
                        <w:r w:rsidRPr="00EA1824">
                          <w:rPr>
                            <w:rFonts w:ascii="Times New Roman" w:hAnsi="Times New Roman" w:cs="Times New Roman"/>
                          </w:rPr>
                          <w:t>WIOA-eligible</w:t>
                        </w:r>
                      </w:p>
                      <w:p w14:paraId="45FBDA36" w14:textId="77777777" w:rsidR="00C45483" w:rsidRPr="00EA1824" w:rsidRDefault="00C45483" w:rsidP="00176BD1">
                        <w:pPr>
                          <w:pStyle w:val="ListParagraph"/>
                          <w:numPr>
                            <w:ilvl w:val="0"/>
                            <w:numId w:val="5"/>
                          </w:numPr>
                          <w:spacing w:after="0" w:line="240" w:lineRule="auto"/>
                          <w:rPr>
                            <w:rFonts w:ascii="Times New Roman" w:hAnsi="Times New Roman" w:cs="Times New Roman"/>
                          </w:rPr>
                        </w:pPr>
                        <w:r w:rsidRPr="00EA1824">
                          <w:rPr>
                            <w:rFonts w:ascii="Times New Roman" w:hAnsi="Times New Roman" w:cs="Times New Roman"/>
                          </w:rPr>
                          <w:t>TANF co-enrollment encouraged</w:t>
                        </w:r>
                      </w:p>
                      <w:p w14:paraId="69EF17C4" w14:textId="77777777" w:rsidR="00C45483" w:rsidRPr="00EA1824" w:rsidRDefault="00C45483" w:rsidP="00176BD1">
                        <w:pPr>
                          <w:pStyle w:val="ListParagraph"/>
                          <w:numPr>
                            <w:ilvl w:val="0"/>
                            <w:numId w:val="5"/>
                          </w:numPr>
                          <w:spacing w:after="0" w:line="240" w:lineRule="auto"/>
                          <w:rPr>
                            <w:rFonts w:ascii="Times New Roman" w:hAnsi="Times New Roman" w:cs="Times New Roman"/>
                          </w:rPr>
                        </w:pPr>
                        <w:r w:rsidRPr="00EA1824">
                          <w:rPr>
                            <w:rFonts w:ascii="Times New Roman" w:hAnsi="Times New Roman" w:cs="Times New Roman"/>
                          </w:rPr>
                          <w:t>18-24 years old</w:t>
                        </w:r>
                      </w:p>
                      <w:p w14:paraId="146FA55B" w14:textId="77777777" w:rsidR="00C45483" w:rsidRDefault="00C45483" w:rsidP="00176BD1">
                        <w:pPr>
                          <w:spacing w:after="0" w:line="240" w:lineRule="auto"/>
                        </w:pPr>
                      </w:p>
                    </w:txbxContent>
                  </v:textbox>
                </v:shape>
                <v:shape id="Text Box 5" o:spid="_x0000_s1028" type="#_x0000_t202" style="position:absolute;left:20828;width:16637;height:1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" filled="f" strokecolor="black [3213]">
                  <v:textbox>
                    <w:txbxContent>
                      <w:p w14:paraId="6E7A7540" w14:textId="77777777" w:rsidR="00C45483" w:rsidRPr="002B4767" w:rsidRDefault="00C45483" w:rsidP="00176BD1">
                        <w:pPr>
                          <w:spacing w:after="0" w:line="240" w:lineRule="auto"/>
                          <w:rPr>
                            <w:rFonts w:ascii="Times New Roman" w:hAnsi="Times New Roman" w:cs="Times New Roman"/>
                            <w:u w:val="single"/>
                          </w:rPr>
                        </w:pPr>
                        <w:r w:rsidRPr="002B4767">
                          <w:rPr>
                            <w:rFonts w:ascii="Times New Roman" w:hAnsi="Times New Roman" w:cs="Times New Roman"/>
                            <w:u w:val="single"/>
                          </w:rPr>
                          <w:t>CCMEP Participation</w:t>
                        </w:r>
                      </w:p>
                      <w:p w14:paraId="6AF116A7"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Assessment</w:t>
                        </w:r>
                      </w:p>
                      <w:p w14:paraId="3DFEEEFE"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Individual Opportunity Plan (IOP)</w:t>
                        </w:r>
                      </w:p>
                      <w:p w14:paraId="78235685"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Barrier removal</w:t>
                        </w:r>
                      </w:p>
                      <w:p w14:paraId="7EBB1AC2" w14:textId="77777777" w:rsidR="00C45483" w:rsidRDefault="00C45483" w:rsidP="00176BD1">
                        <w:pPr>
                          <w:spacing w:after="0" w:line="240" w:lineRule="auto"/>
                        </w:pPr>
                      </w:p>
                    </w:txbxContent>
                  </v:textbox>
                </v:shape>
                <v:shape id="Text Box 6" o:spid="_x0000_s1029" type="#_x0000_t202" style="position:absolute;left:41275;width:16637;height:1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" filled="f" strokecolor="black [3213]">
                  <v:textbox>
                    <w:txbxContent>
                      <w:p w14:paraId="3FB96A07" w14:textId="77777777" w:rsidR="00C45483" w:rsidRPr="002B4767" w:rsidRDefault="00C45483" w:rsidP="00176BD1">
                        <w:pPr>
                          <w:spacing w:after="0" w:line="240" w:lineRule="auto"/>
                          <w:rPr>
                            <w:rFonts w:ascii="Times New Roman" w:hAnsi="Times New Roman" w:cs="Times New Roman"/>
                            <w:u w:val="single"/>
                          </w:rPr>
                        </w:pPr>
                        <w:r w:rsidRPr="002B4767">
                          <w:rPr>
                            <w:rFonts w:ascii="Times New Roman" w:hAnsi="Times New Roman" w:cs="Times New Roman"/>
                            <w:u w:val="single"/>
                          </w:rPr>
                          <w:t>Wage Pathway Selection</w:t>
                        </w:r>
                      </w:p>
                      <w:p w14:paraId="472575DE"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Interested and able for immediate work, 120 hours per month</w:t>
                        </w:r>
                      </w:p>
                    </w:txbxContent>
                  </v:textbox>
                </v:shape>
                <v:shape id="Text Box 7" o:spid="_x0000_s1030" type="#_x0000_t202" style="position:absolute;top:14351;width:5829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" filled="f" strokecolor="black [3213]">
                  <v:textbox>
                    <w:txbxContent>
                      <w:p w14:paraId="24E45024" w14:textId="77777777" w:rsidR="00C45483" w:rsidRPr="002B4767" w:rsidRDefault="00C45483" w:rsidP="00176BD1">
                        <w:pPr>
                          <w:spacing w:after="0" w:line="240" w:lineRule="auto"/>
                          <w:rPr>
                            <w:rFonts w:ascii="Times New Roman" w:hAnsi="Times New Roman" w:cs="Times New Roman"/>
                            <w:u w:val="single"/>
                          </w:rPr>
                        </w:pPr>
                        <w:r w:rsidRPr="002B4767">
                          <w:rPr>
                            <w:rFonts w:ascii="Times New Roman" w:hAnsi="Times New Roman" w:cs="Times New Roman"/>
                            <w:u w:val="single"/>
                          </w:rPr>
                          <w:t>Wage Pathway Intervention</w:t>
                        </w:r>
                      </w:p>
                      <w:p w14:paraId="65E33A03" w14:textId="4CC25D58" w:rsidR="00C45483" w:rsidRPr="002B4767" w:rsidRDefault="00C45483" w:rsidP="00176BD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Prioritize </w:t>
                        </w:r>
                        <w:r w:rsidRPr="002B4767">
                          <w:rPr>
                            <w:rFonts w:ascii="Times New Roman" w:hAnsi="Times New Roman" w:cs="Times New Roman"/>
                          </w:rPr>
                          <w:t>Work</w:t>
                        </w:r>
                        <w:r>
                          <w:rPr>
                            <w:rFonts w:ascii="Times New Roman" w:hAnsi="Times New Roman" w:cs="Times New Roman"/>
                          </w:rPr>
                          <w:t xml:space="preserve"> -</w:t>
                        </w:r>
                        <w:r w:rsidRPr="002B4767">
                          <w:rPr>
                            <w:rFonts w:ascii="Times New Roman" w:hAnsi="Times New Roman" w:cs="Times New Roman"/>
                          </w:rPr>
                          <w:t xml:space="preserve"> 120 hours per month</w:t>
                        </w:r>
                      </w:p>
                      <w:p w14:paraId="59357A20"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Availability of Wage Pathway Tool</w:t>
                        </w:r>
                      </w:p>
                      <w:p w14:paraId="739B132F"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Financial Learning and Budget Calculator Tool</w:t>
                        </w:r>
                      </w:p>
                      <w:p w14:paraId="1F3BF20E" w14:textId="77777777" w:rsidR="00C45483" w:rsidRPr="002B4767" w:rsidRDefault="00C45483" w:rsidP="00176BD1">
                        <w:pPr>
                          <w:pStyle w:val="ListParagraph"/>
                          <w:numPr>
                            <w:ilvl w:val="0"/>
                            <w:numId w:val="5"/>
                          </w:numPr>
                          <w:spacing w:after="0" w:line="240" w:lineRule="auto"/>
                          <w:rPr>
                            <w:rFonts w:ascii="Times New Roman" w:hAnsi="Times New Roman" w:cs="Times New Roman"/>
                          </w:rPr>
                        </w:pPr>
                        <w:r w:rsidRPr="002B4767">
                          <w:rPr>
                            <w:rFonts w:ascii="Times New Roman" w:hAnsi="Times New Roman" w:cs="Times New Roman"/>
                          </w:rPr>
                          <w:t>Advancement coaching and intensive follow-up</w:t>
                        </w:r>
                      </w:p>
                    </w:txbxContent>
                  </v:textbox>
                </v:shape>
                <v:shape id="Text Box 8" o:spid="_x0000_s1031" type="#_x0000_t202" style="position:absolute;left:30861;top:16129;width:24174;height:62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" filled="f" stroked="f">
                  <v:textbox>
                    <w:txbxContent>
                      <w:p w14:paraId="78E9F3F2" w14:textId="77777777" w:rsidR="00C45483" w:rsidRPr="002B4767" w:rsidRDefault="00C45483" w:rsidP="00176BD1">
                        <w:pPr>
                          <w:pStyle w:val="ListParagraph"/>
                          <w:numPr>
                            <w:ilvl w:val="0"/>
                            <w:numId w:val="6"/>
                          </w:numPr>
                          <w:spacing w:after="0" w:line="240" w:lineRule="auto"/>
                          <w:rPr>
                            <w:rFonts w:ascii="Times New Roman" w:hAnsi="Times New Roman" w:cs="Times New Roman"/>
                          </w:rPr>
                        </w:pPr>
                        <w:r w:rsidRPr="002B4767">
                          <w:rPr>
                            <w:rFonts w:ascii="Times New Roman" w:hAnsi="Times New Roman" w:cs="Times New Roman"/>
                          </w:rPr>
                          <w:t>Short-term training possibilities</w:t>
                        </w:r>
                      </w:p>
                      <w:p w14:paraId="42407E61" w14:textId="77777777" w:rsidR="00C45483" w:rsidRPr="002B4767" w:rsidRDefault="00C45483" w:rsidP="00176BD1">
                        <w:pPr>
                          <w:pStyle w:val="ListParagraph"/>
                          <w:numPr>
                            <w:ilvl w:val="0"/>
                            <w:numId w:val="6"/>
                          </w:numPr>
                          <w:rPr>
                            <w:rFonts w:ascii="Times New Roman" w:hAnsi="Times New Roman" w:cs="Times New Roman"/>
                          </w:rPr>
                        </w:pPr>
                        <w:r w:rsidRPr="002B4767">
                          <w:rPr>
                            <w:rFonts w:ascii="Times New Roman" w:hAnsi="Times New Roman" w:cs="Times New Roman"/>
                          </w:rPr>
                          <w:t>Cash incentives</w:t>
                        </w:r>
                      </w:p>
                    </w:txbxContent>
                  </v:textbox>
                </v:shape>
                <v:shapetype id="_x0000_t32" coordsize="21600,21600" o:spt="32" o:oned="t" path="m,l21600,21600e" filled="f">
                  <v:path arrowok="t" fillok="f" o:connecttype="none"/>
                  <o:lock v:ext="edit" shapetype="t"/>
                </v:shapetype>
                <v:shape id="Straight Arrow Connector 9" o:spid="_x0000_s1032" type="#_x0000_t32" style="position:absolute;left:16891;top:5588;width:3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" strokecolor="black [3213]" strokeweight="1pt">
                  <v:stroke endarrow="open" joinstyle="miter"/>
                </v:shape>
                <v:shape id="Straight Arrow Connector 10" o:spid="_x0000_s1033" type="#_x0000_t32" style="position:absolute;left:37592;top:5588;width:3810;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" strokecolor="black [3213]" strokeweight="1pt">
                  <v:stroke endarrow="open" joinstyle="miter"/>
                </v:shape>
                <w10:anchorlock/>
              </v:group>
            </w:pict>
          </mc:Fallback>
        </mc:AlternateContent>
      </w:r>
    </w:p>
    <w:p w14:paraId="74B14697" w14:textId="77777777" w:rsidR="00B076BB" w:rsidRDefault="00B076BB" w:rsidP="00F95777">
      <w:pPr>
        <w:jc w:val="both"/>
        <w:rPr>
          <w:rFonts w:ascii="Times New Roman" w:hAnsi="Times New Roman" w:cs="Times New Roman"/>
        </w:rPr>
      </w:pPr>
    </w:p>
    <w:p w14:paraId="19058986" w14:textId="4A067487" w:rsidR="00176BD1" w:rsidRPr="00176BD1" w:rsidRDefault="00176BD1" w:rsidP="00F95777">
      <w:pPr>
        <w:jc w:val="both"/>
        <w:rPr>
          <w:rFonts w:ascii="Times New Roman" w:hAnsi="Times New Roman" w:cs="Times New Roman"/>
        </w:rPr>
      </w:pPr>
      <w:r w:rsidRPr="00176BD1">
        <w:rPr>
          <w:rFonts w:ascii="Times New Roman" w:hAnsi="Times New Roman" w:cs="Times New Roman"/>
        </w:rPr>
        <w:lastRenderedPageBreak/>
        <w:t>Once individuals became participants, case managers had the option to utilize a career coaching tool called the Wage Pathways Tool to guide conversations with participants. The Wage Pathways Tool provided clickable and searchable occupational and career pathway information including wages, educational requirements, job openings and trends, and advancement pathways for each in-demand occupation. Additionally, ODJFS provides a Financial Learning and Budget Calculation Tool that case managers can use to help individuals learn about financial management alongside occupational data. These tools are intended to enhance career counseling to help individuals plan pathways to reach successively higher-paying jobs. Other services included support for resume development, familiarization with job search tools, and interview practice. Other programs and services provided by ODJFS may be accessed by the individual as determined in the IOP</w:t>
      </w:r>
      <w:r w:rsidR="00F04867">
        <w:rPr>
          <w:rFonts w:ascii="Times New Roman" w:hAnsi="Times New Roman" w:cs="Times New Roman"/>
        </w:rPr>
        <w:t>,</w:t>
      </w:r>
      <w:r w:rsidRPr="00176BD1">
        <w:rPr>
          <w:rFonts w:ascii="Times New Roman" w:hAnsi="Times New Roman" w:cs="Times New Roman"/>
        </w:rPr>
        <w:t xml:space="preserve"> TANF and WIOA Title I-B Youth Programs.</w:t>
      </w:r>
    </w:p>
    <w:p w14:paraId="04798AB0" w14:textId="7D405B33" w:rsidR="00176BD1" w:rsidRPr="00176BD1" w:rsidRDefault="00176BD1" w:rsidP="00F95777">
      <w:pPr>
        <w:jc w:val="both"/>
        <w:rPr>
          <w:rFonts w:ascii="Times New Roman" w:hAnsi="Times New Roman" w:cs="Times New Roman"/>
        </w:rPr>
      </w:pPr>
      <w:r w:rsidRPr="00176BD1">
        <w:rPr>
          <w:rFonts w:ascii="Times New Roman" w:hAnsi="Times New Roman" w:cs="Times New Roman"/>
        </w:rPr>
        <w:t>All case managers agreed that the Wage Pathways incentives need to be bundled with other service</w:t>
      </w:r>
      <w:r w:rsidR="00F04867">
        <w:rPr>
          <w:rFonts w:ascii="Times New Roman" w:hAnsi="Times New Roman" w:cs="Times New Roman"/>
        </w:rPr>
        <w:t>s</w:t>
      </w:r>
      <w:r w:rsidRPr="00176BD1">
        <w:rPr>
          <w:rFonts w:ascii="Times New Roman" w:hAnsi="Times New Roman" w:cs="Times New Roman"/>
        </w:rPr>
        <w:t xml:space="preserve"> and programs because the Wage Pathways program does not offer training or barrier mitigation services. However, with a notable exception in Cuyahoga County, there was little evidence of systematic or consistent approaches for career pathway planning and the purposeful integration of incentives. Many participants had received cash assistance, food assistance, job readiness workshops, education or training assistance, childcare, or transportation services through other programs. The evaluation team observed that the additional Wage Pathways cash incentives intended to encourage career and earnings advancement were not typically accompanied by a plan with specific steps to achieve advancement.</w:t>
      </w:r>
    </w:p>
    <w:p w14:paraId="45CA38F9" w14:textId="188A8794" w:rsidR="00176BD1" w:rsidRPr="00176BD1" w:rsidRDefault="00176BD1" w:rsidP="00F95777">
      <w:pPr>
        <w:jc w:val="both"/>
        <w:rPr>
          <w:rFonts w:ascii="Times New Roman" w:hAnsi="Times New Roman" w:cs="Times New Roman"/>
        </w:rPr>
      </w:pPr>
      <w:r w:rsidRPr="00176BD1">
        <w:rPr>
          <w:rFonts w:ascii="Times New Roman" w:hAnsi="Times New Roman" w:cs="Times New Roman"/>
        </w:rPr>
        <w:t xml:space="preserve">The evaluation team </w:t>
      </w:r>
      <w:r w:rsidR="00F04867">
        <w:rPr>
          <w:rFonts w:ascii="Times New Roman" w:hAnsi="Times New Roman" w:cs="Times New Roman"/>
        </w:rPr>
        <w:t>queried</w:t>
      </w:r>
      <w:r w:rsidRPr="00176BD1">
        <w:rPr>
          <w:rFonts w:ascii="Times New Roman" w:hAnsi="Times New Roman" w:cs="Times New Roman"/>
        </w:rPr>
        <w:t xml:space="preserve"> case managers about the nature and extent of career coaching conversations with individuals about longer-term, multiple-step career pathways, including the use of tools to aid conversations. Additionally, during site visits, the evaluation team reviewed Wage Pathways participant case files looking </w:t>
      </w:r>
      <w:r w:rsidR="00F04867">
        <w:rPr>
          <w:rFonts w:ascii="Times New Roman" w:hAnsi="Times New Roman" w:cs="Times New Roman"/>
        </w:rPr>
        <w:t xml:space="preserve">for </w:t>
      </w:r>
      <w:r w:rsidRPr="00176BD1">
        <w:rPr>
          <w:rFonts w:ascii="Times New Roman" w:hAnsi="Times New Roman" w:cs="Times New Roman"/>
        </w:rPr>
        <w:t>career pathway planning. While not entirely unused, the majority of case managers in all counties indicated that they did not regularly use the Wage Pathways Tool or Financial Management and Budget Calculation Tool. The most frequently cited reason for not using the tools was that participants were dealing with basic needs and barriers that were fundamental, such as rent and transportation, and rarely were prepared to develop career plans other than for the purposes of basic subsistence. Similarly, case files typically included general career goals such as “get a job” or “earn more money” without specific pathways mapped. Case managers sometimes used other tools such as the OhioMeansJobs website to obtain labor market and occupational information.</w:t>
      </w:r>
    </w:p>
    <w:p w14:paraId="79F87F09" w14:textId="77777777" w:rsidR="00176BD1" w:rsidRPr="00176BD1" w:rsidRDefault="00176BD1" w:rsidP="00F95777">
      <w:pPr>
        <w:jc w:val="both"/>
        <w:rPr>
          <w:rFonts w:ascii="Times New Roman" w:hAnsi="Times New Roman" w:cs="Times New Roman"/>
        </w:rPr>
      </w:pPr>
      <w:r w:rsidRPr="00176BD1">
        <w:rPr>
          <w:rFonts w:ascii="Times New Roman" w:hAnsi="Times New Roman" w:cs="Times New Roman"/>
        </w:rPr>
        <w:t>Cuyahoga County provided a notable exception. The county delivers CCMEP and WIOA Youth programming in collaboration with two contracted service provider organizations, Towards Employment and Guidestone. Both organizations required individuals to engage in multi-week work readiness coursework and barrier removal services prior to engaging in Wage Pathways. The work readiness course and extended case management provided individuals the opportunity to develop specific, multi-step career pathways plans.</w:t>
      </w:r>
    </w:p>
    <w:p w14:paraId="4D2E64DE" w14:textId="77777777" w:rsidR="00176BD1" w:rsidRPr="000429AC" w:rsidRDefault="00176BD1" w:rsidP="00F95777">
      <w:pPr>
        <w:pStyle w:val="Heading2"/>
        <w:jc w:val="both"/>
        <w:rPr>
          <w:rFonts w:ascii="Times New Roman" w:hAnsi="Times New Roman" w:cs="Times New Roman"/>
        </w:rPr>
      </w:pPr>
      <w:bookmarkStart w:id="12" w:name="_Toc20468466"/>
      <w:r w:rsidRPr="000429AC">
        <w:rPr>
          <w:rFonts w:ascii="Times New Roman" w:hAnsi="Times New Roman" w:cs="Times New Roman"/>
        </w:rPr>
        <w:t>Post-Placement Participant Engagement</w:t>
      </w:r>
      <w:bookmarkEnd w:id="12"/>
    </w:p>
    <w:p w14:paraId="07E0885F" w14:textId="68F2A88B" w:rsidR="00176BD1" w:rsidRPr="00176BD1" w:rsidRDefault="00176BD1" w:rsidP="00F95777">
      <w:pPr>
        <w:jc w:val="both"/>
        <w:rPr>
          <w:rFonts w:ascii="Times New Roman" w:hAnsi="Times New Roman" w:cs="Times New Roman"/>
        </w:rPr>
      </w:pPr>
      <w:r w:rsidRPr="00176BD1">
        <w:rPr>
          <w:rFonts w:ascii="Times New Roman" w:hAnsi="Times New Roman" w:cs="Times New Roman"/>
        </w:rPr>
        <w:t xml:space="preserve">Generally, post-placement engagement of participants was highly individualized depending on each participant’s situation. There were no programmatic requirements at any of the sites for participants to remain engaged other than for the purposes of documenting and transacting incentives. Primarily, postplacement engagement served an administrative accounting purpose, although case managers were open to discussions of barrier mitigation or career coaching. Participants </w:t>
      </w:r>
      <w:r w:rsidR="00F04867">
        <w:rPr>
          <w:rFonts w:ascii="Times New Roman" w:hAnsi="Times New Roman" w:cs="Times New Roman"/>
        </w:rPr>
        <w:t>who</w:t>
      </w:r>
      <w:r w:rsidRPr="00176BD1">
        <w:rPr>
          <w:rFonts w:ascii="Times New Roman" w:hAnsi="Times New Roman" w:cs="Times New Roman"/>
        </w:rPr>
        <w:t xml:space="preserve"> indicated a need for new employment, career coaching, or services were invited to re-engage with the agency. Several case managers described their efforts in terms of working to maintain or strengthen a pre-existing relationship with the participants so they would feel comfortable reengaging, if needed.</w:t>
      </w:r>
    </w:p>
    <w:p w14:paraId="4BDC5152" w14:textId="77777777" w:rsidR="00176BD1" w:rsidRPr="00176BD1" w:rsidRDefault="00176BD1" w:rsidP="00F95777">
      <w:pPr>
        <w:jc w:val="both"/>
        <w:rPr>
          <w:rFonts w:ascii="Times New Roman" w:hAnsi="Times New Roman" w:cs="Times New Roman"/>
        </w:rPr>
      </w:pPr>
      <w:r w:rsidRPr="00176BD1">
        <w:rPr>
          <w:rFonts w:ascii="Times New Roman" w:hAnsi="Times New Roman" w:cs="Times New Roman"/>
        </w:rPr>
        <w:lastRenderedPageBreak/>
        <w:t>Following placement, case managers reported that many participants had unclear career or advancement plans for the future. Relatedly, there was reported uncertainty among many participants about pursing training and/or education for the purposes of advancement. Case managers typically followed up monthly, or bi-weekly, with participants via email, text, or phone call in an effort to remain in communication.</w:t>
      </w:r>
    </w:p>
    <w:p w14:paraId="5E288217" w14:textId="77777777" w:rsidR="00176BD1" w:rsidRPr="000429AC" w:rsidRDefault="00176BD1" w:rsidP="00F95777">
      <w:pPr>
        <w:pStyle w:val="Heading2"/>
        <w:jc w:val="both"/>
        <w:rPr>
          <w:rFonts w:ascii="Times New Roman" w:hAnsi="Times New Roman" w:cs="Times New Roman"/>
        </w:rPr>
      </w:pPr>
      <w:bookmarkStart w:id="13" w:name="_Toc20468467"/>
      <w:r w:rsidRPr="000429AC">
        <w:rPr>
          <w:rFonts w:ascii="Times New Roman" w:hAnsi="Times New Roman" w:cs="Times New Roman"/>
        </w:rPr>
        <w:t>Effectiveness of Incentives</w:t>
      </w:r>
      <w:bookmarkEnd w:id="13"/>
    </w:p>
    <w:p w14:paraId="53139B40" w14:textId="5A71F192" w:rsidR="00176BD1" w:rsidRPr="00176BD1" w:rsidRDefault="00176BD1" w:rsidP="00F95777">
      <w:pPr>
        <w:jc w:val="both"/>
        <w:rPr>
          <w:rFonts w:ascii="Times New Roman" w:hAnsi="Times New Roman" w:cs="Times New Roman"/>
        </w:rPr>
      </w:pPr>
      <w:r w:rsidRPr="00176BD1">
        <w:rPr>
          <w:rFonts w:ascii="Times New Roman" w:hAnsi="Times New Roman" w:cs="Times New Roman"/>
        </w:rPr>
        <w:t xml:space="preserve">There was a unanimous belief among case managers that most participants were using incentives for positive purposes. Positive examples included </w:t>
      </w:r>
      <w:r w:rsidR="00E2082D">
        <w:rPr>
          <w:rFonts w:ascii="Times New Roman" w:hAnsi="Times New Roman" w:cs="Times New Roman"/>
        </w:rPr>
        <w:t>paying for</w:t>
      </w:r>
      <w:r w:rsidRPr="00176BD1">
        <w:rPr>
          <w:rFonts w:ascii="Times New Roman" w:hAnsi="Times New Roman" w:cs="Times New Roman"/>
        </w:rPr>
        <w:t xml:space="preserve"> </w:t>
      </w:r>
      <w:r w:rsidR="00AC08E1">
        <w:rPr>
          <w:rFonts w:ascii="Times New Roman" w:hAnsi="Times New Roman" w:cs="Times New Roman"/>
        </w:rPr>
        <w:t>children’s</w:t>
      </w:r>
      <w:r w:rsidRPr="00176BD1">
        <w:rPr>
          <w:rFonts w:ascii="Times New Roman" w:hAnsi="Times New Roman" w:cs="Times New Roman"/>
        </w:rPr>
        <w:t xml:space="preserve"> school supplies, health bills, college tuition, utility bills, rent, gas, car payments, legal fees, and industry certification testing fees. Negative examples included </w:t>
      </w:r>
      <w:r w:rsidR="00E2082D">
        <w:rPr>
          <w:rFonts w:ascii="Times New Roman" w:hAnsi="Times New Roman" w:cs="Times New Roman"/>
        </w:rPr>
        <w:t xml:space="preserve">using incentives for </w:t>
      </w:r>
      <w:r w:rsidRPr="00176BD1">
        <w:rPr>
          <w:rFonts w:ascii="Times New Roman" w:hAnsi="Times New Roman" w:cs="Times New Roman"/>
        </w:rPr>
        <w:t>tattoos, video games, and bar tabs. Case managers were united in expressing the opinion that the process for incentive documentation and receipt made participants much more willing and accessible to communicate with staff following job placement.</w:t>
      </w:r>
    </w:p>
    <w:p w14:paraId="3237B97F" w14:textId="6616A695" w:rsidR="00176BD1" w:rsidRPr="00176BD1" w:rsidRDefault="00176BD1" w:rsidP="00F95777">
      <w:pPr>
        <w:jc w:val="both"/>
        <w:rPr>
          <w:rFonts w:ascii="Times New Roman" w:hAnsi="Times New Roman" w:cs="Times New Roman"/>
        </w:rPr>
      </w:pPr>
      <w:r w:rsidRPr="00176BD1">
        <w:rPr>
          <w:rFonts w:ascii="Times New Roman" w:hAnsi="Times New Roman" w:cs="Times New Roman"/>
        </w:rPr>
        <w:t xml:space="preserve">Six out of the ten participants interviewed indicated the incentives motivated them to continue working to achieve a retention incentive. Although ten out of ten </w:t>
      </w:r>
      <w:r w:rsidR="00E2082D">
        <w:rPr>
          <w:rFonts w:ascii="Times New Roman" w:hAnsi="Times New Roman" w:cs="Times New Roman"/>
        </w:rPr>
        <w:t xml:space="preserve">participants </w:t>
      </w:r>
      <w:r w:rsidRPr="00176BD1">
        <w:rPr>
          <w:rFonts w:ascii="Times New Roman" w:hAnsi="Times New Roman" w:cs="Times New Roman"/>
        </w:rPr>
        <w:t>believed they would have achieved the milestones they achieved with or without the incentives</w:t>
      </w:r>
      <w:r w:rsidR="00E2082D">
        <w:rPr>
          <w:rFonts w:ascii="Times New Roman" w:hAnsi="Times New Roman" w:cs="Times New Roman"/>
        </w:rPr>
        <w:t>, c</w:t>
      </w:r>
      <w:r w:rsidRPr="00176BD1">
        <w:rPr>
          <w:rFonts w:ascii="Times New Roman" w:hAnsi="Times New Roman" w:cs="Times New Roman"/>
        </w:rPr>
        <w:t xml:space="preserve">ase manager opinions varied on whether incentives effectively encouraged job attainment, retention, or advancement. Several case managers reported that participants were likely to stay in an initial job if they did not have significant issues with wages or their managers even if an advancement incentive was available. </w:t>
      </w:r>
      <w:r w:rsidR="00AC08E1">
        <w:rPr>
          <w:rFonts w:ascii="Times New Roman" w:hAnsi="Times New Roman" w:cs="Times New Roman"/>
        </w:rPr>
        <w:t xml:space="preserve"> </w:t>
      </w:r>
      <w:r w:rsidRPr="00176BD1">
        <w:rPr>
          <w:rFonts w:ascii="Times New Roman" w:hAnsi="Times New Roman" w:cs="Times New Roman"/>
        </w:rPr>
        <w:t>Case managers believed that participants who had previous working experience</w:t>
      </w:r>
      <w:r w:rsidR="00E2082D">
        <w:rPr>
          <w:rFonts w:ascii="Times New Roman" w:hAnsi="Times New Roman" w:cs="Times New Roman"/>
        </w:rPr>
        <w:t xml:space="preserve">, </w:t>
      </w:r>
      <w:r w:rsidRPr="00176BD1">
        <w:rPr>
          <w:rFonts w:ascii="Times New Roman" w:hAnsi="Times New Roman" w:cs="Times New Roman"/>
        </w:rPr>
        <w:t xml:space="preserve">at least a high school degree or GED, and reliable transportation were most likely to achieve retention and advancement incentives. </w:t>
      </w:r>
      <w:r w:rsidR="00AC08E1">
        <w:rPr>
          <w:rFonts w:ascii="Times New Roman" w:hAnsi="Times New Roman" w:cs="Times New Roman"/>
        </w:rPr>
        <w:t xml:space="preserve"> </w:t>
      </w:r>
      <w:r w:rsidRPr="00176BD1">
        <w:rPr>
          <w:rFonts w:ascii="Times New Roman" w:hAnsi="Times New Roman" w:cs="Times New Roman"/>
        </w:rPr>
        <w:t>In the case of one participant, the individual hesitated to make more money for concern of losing cash welfare benefits.</w:t>
      </w:r>
      <w:r w:rsidR="00AC08E1">
        <w:rPr>
          <w:rStyle w:val="FootnoteReference"/>
          <w:rFonts w:ascii="Times New Roman" w:hAnsi="Times New Roman" w:cs="Times New Roman"/>
        </w:rPr>
        <w:footnoteReference w:id="7"/>
      </w:r>
    </w:p>
    <w:p w14:paraId="1ED40F69" w14:textId="4B9C82F7" w:rsidR="00176BD1" w:rsidRPr="00176BD1" w:rsidRDefault="00176BD1" w:rsidP="00F95777">
      <w:pPr>
        <w:jc w:val="both"/>
        <w:rPr>
          <w:rFonts w:ascii="Times New Roman" w:hAnsi="Times New Roman" w:cs="Times New Roman"/>
        </w:rPr>
      </w:pPr>
      <w:r w:rsidRPr="00176BD1">
        <w:rPr>
          <w:rFonts w:ascii="Times New Roman" w:hAnsi="Times New Roman" w:cs="Times New Roman"/>
        </w:rPr>
        <w:t xml:space="preserve">Counties were not uniform in their incentive processing speeds. </w:t>
      </w:r>
      <w:r w:rsidR="00AC08E1">
        <w:rPr>
          <w:rFonts w:ascii="Times New Roman" w:hAnsi="Times New Roman" w:cs="Times New Roman"/>
        </w:rPr>
        <w:t xml:space="preserve"> </w:t>
      </w:r>
      <w:r w:rsidRPr="00176BD1">
        <w:rPr>
          <w:rFonts w:ascii="Times New Roman" w:hAnsi="Times New Roman" w:cs="Times New Roman"/>
        </w:rPr>
        <w:t xml:space="preserve">For example, one county </w:t>
      </w:r>
      <w:r w:rsidR="0083509F">
        <w:rPr>
          <w:rFonts w:ascii="Times New Roman" w:hAnsi="Times New Roman" w:cs="Times New Roman"/>
        </w:rPr>
        <w:t>could</w:t>
      </w:r>
      <w:r w:rsidRPr="00176BD1">
        <w:rPr>
          <w:rFonts w:ascii="Times New Roman" w:hAnsi="Times New Roman" w:cs="Times New Roman"/>
        </w:rPr>
        <w:t xml:space="preserve"> process incentive payments within two weeks of receiving documentation of hours worked, whereas another required four months. All case managers believed that longer processing times lessened the impact of the incentive. There was no prescribed processing time requirement for the sites, so the slower sites were still in compliance with program guid</w:t>
      </w:r>
      <w:r w:rsidR="0083509F">
        <w:rPr>
          <w:rFonts w:ascii="Times New Roman" w:hAnsi="Times New Roman" w:cs="Times New Roman"/>
        </w:rPr>
        <w:t>elines</w:t>
      </w:r>
      <w:r w:rsidRPr="00176BD1">
        <w:rPr>
          <w:rFonts w:ascii="Times New Roman" w:hAnsi="Times New Roman" w:cs="Times New Roman"/>
        </w:rPr>
        <w:t>.</w:t>
      </w:r>
    </w:p>
    <w:p w14:paraId="485FF38E" w14:textId="77777777" w:rsidR="00176BD1" w:rsidRPr="001746F4" w:rsidRDefault="00176BD1" w:rsidP="00F95777">
      <w:pPr>
        <w:pStyle w:val="Heading2"/>
        <w:jc w:val="both"/>
        <w:rPr>
          <w:rFonts w:ascii="Times New Roman" w:hAnsi="Times New Roman" w:cs="Times New Roman"/>
        </w:rPr>
      </w:pPr>
      <w:bookmarkStart w:id="14" w:name="_Toc20468468"/>
      <w:r w:rsidRPr="001746F4">
        <w:rPr>
          <w:rFonts w:ascii="Times New Roman" w:hAnsi="Times New Roman" w:cs="Times New Roman"/>
        </w:rPr>
        <w:t>Engagement with Employers</w:t>
      </w:r>
      <w:bookmarkEnd w:id="14"/>
    </w:p>
    <w:p w14:paraId="240F6235" w14:textId="77777777" w:rsidR="00176BD1" w:rsidRPr="00176BD1" w:rsidRDefault="00176BD1" w:rsidP="00F95777">
      <w:pPr>
        <w:jc w:val="both"/>
        <w:rPr>
          <w:rFonts w:ascii="Times New Roman" w:hAnsi="Times New Roman" w:cs="Times New Roman"/>
        </w:rPr>
      </w:pPr>
      <w:r w:rsidRPr="00176BD1">
        <w:rPr>
          <w:rFonts w:ascii="Times New Roman" w:hAnsi="Times New Roman" w:cs="Times New Roman"/>
        </w:rPr>
        <w:t xml:space="preserve">Employer engagement practices varied among the counties. </w:t>
      </w:r>
      <w:r w:rsidR="00AC08E1">
        <w:rPr>
          <w:rFonts w:ascii="Times New Roman" w:hAnsi="Times New Roman" w:cs="Times New Roman"/>
        </w:rPr>
        <w:t xml:space="preserve"> </w:t>
      </w:r>
      <w:r w:rsidRPr="00176BD1">
        <w:rPr>
          <w:rFonts w:ascii="Times New Roman" w:hAnsi="Times New Roman" w:cs="Times New Roman"/>
        </w:rPr>
        <w:t>In all counties, case management staff communicated with many employers to document hours worked for incentive payout.</w:t>
      </w:r>
      <w:r w:rsidR="00AC08E1">
        <w:rPr>
          <w:rFonts w:ascii="Times New Roman" w:hAnsi="Times New Roman" w:cs="Times New Roman"/>
        </w:rPr>
        <w:t xml:space="preserve"> </w:t>
      </w:r>
      <w:r w:rsidRPr="00176BD1">
        <w:rPr>
          <w:rFonts w:ascii="Times New Roman" w:hAnsi="Times New Roman" w:cs="Times New Roman"/>
        </w:rPr>
        <w:t xml:space="preserve"> Generally, employers were not engaged in the strategy, design, or delivery of the Wage Pathways program unless they were already participating in another program in collaboration with the site. </w:t>
      </w:r>
      <w:r w:rsidR="00AC08E1">
        <w:rPr>
          <w:rFonts w:ascii="Times New Roman" w:hAnsi="Times New Roman" w:cs="Times New Roman"/>
        </w:rPr>
        <w:t xml:space="preserve"> </w:t>
      </w:r>
      <w:r w:rsidRPr="00176BD1">
        <w:rPr>
          <w:rFonts w:ascii="Times New Roman" w:hAnsi="Times New Roman" w:cs="Times New Roman"/>
        </w:rPr>
        <w:t xml:space="preserve">For example, in one county, service providers had packaged services in another initiative to focus on post-placement job retention and advancement, including barrier mitigation leading to job retention and skills training leading to advancement. </w:t>
      </w:r>
      <w:r w:rsidR="00AC08E1">
        <w:rPr>
          <w:rFonts w:ascii="Times New Roman" w:hAnsi="Times New Roman" w:cs="Times New Roman"/>
        </w:rPr>
        <w:t xml:space="preserve"> </w:t>
      </w:r>
      <w:r w:rsidRPr="00176BD1">
        <w:rPr>
          <w:rFonts w:ascii="Times New Roman" w:hAnsi="Times New Roman" w:cs="Times New Roman"/>
        </w:rPr>
        <w:t xml:space="preserve">In that county, the Wage Pathways incentives were integrated into this framework. In one county, individuals were placed in jobs prior to enrolling in the Wage Pathways program, and case managers communicated directly with the employer and the participant with a goal of achieving internal promotion. </w:t>
      </w:r>
      <w:r w:rsidR="00AC08E1">
        <w:rPr>
          <w:rFonts w:ascii="Times New Roman" w:hAnsi="Times New Roman" w:cs="Times New Roman"/>
        </w:rPr>
        <w:t xml:space="preserve"> </w:t>
      </w:r>
      <w:r w:rsidRPr="00176BD1">
        <w:rPr>
          <w:rFonts w:ascii="Times New Roman" w:hAnsi="Times New Roman" w:cs="Times New Roman"/>
        </w:rPr>
        <w:t>In another county, case managers received regular and structured feedback from one employer on the participants’ workplace performance to help guide the supportive services provided by case managers.</w:t>
      </w:r>
    </w:p>
    <w:p w14:paraId="7D375A00" w14:textId="77777777" w:rsidR="00176BD1" w:rsidRPr="001746F4" w:rsidRDefault="00176BD1" w:rsidP="00F95777">
      <w:pPr>
        <w:pStyle w:val="Heading2"/>
        <w:jc w:val="both"/>
        <w:rPr>
          <w:rFonts w:ascii="Times New Roman" w:eastAsiaTheme="minorEastAsia" w:hAnsi="Times New Roman" w:cs="Times New Roman"/>
          <w:color w:val="auto"/>
          <w:sz w:val="22"/>
          <w:szCs w:val="22"/>
        </w:rPr>
      </w:pPr>
      <w:bookmarkStart w:id="15" w:name="_Toc10188320"/>
      <w:bookmarkStart w:id="16" w:name="_Toc20468469"/>
      <w:r w:rsidRPr="001746F4">
        <w:rPr>
          <w:rFonts w:ascii="Times New Roman" w:hAnsi="Times New Roman" w:cs="Times New Roman"/>
        </w:rPr>
        <w:lastRenderedPageBreak/>
        <w:t>Summar</w:t>
      </w:r>
      <w:bookmarkEnd w:id="15"/>
      <w:r w:rsidR="001746F4">
        <w:rPr>
          <w:rFonts w:ascii="Times New Roman" w:hAnsi="Times New Roman" w:cs="Times New Roman"/>
        </w:rPr>
        <w:t xml:space="preserve">y of </w:t>
      </w:r>
      <w:r w:rsidR="00387E7B">
        <w:rPr>
          <w:rFonts w:ascii="Times New Roman" w:hAnsi="Times New Roman" w:cs="Times New Roman"/>
        </w:rPr>
        <w:t xml:space="preserve">the </w:t>
      </w:r>
      <w:r w:rsidR="001746F4">
        <w:rPr>
          <w:rFonts w:ascii="Times New Roman" w:hAnsi="Times New Roman" w:cs="Times New Roman"/>
        </w:rPr>
        <w:t>Implementation Evaluation</w:t>
      </w:r>
      <w:bookmarkEnd w:id="16"/>
      <w:r w:rsidRPr="001746F4">
        <w:rPr>
          <w:rFonts w:ascii="Times New Roman" w:eastAsiaTheme="minorEastAsia" w:hAnsi="Times New Roman" w:cs="Times New Roman"/>
          <w:color w:val="auto"/>
          <w:sz w:val="22"/>
          <w:szCs w:val="22"/>
        </w:rPr>
        <w:t xml:space="preserve"> </w:t>
      </w:r>
    </w:p>
    <w:p w14:paraId="4F84AE88" w14:textId="32EDABE5" w:rsidR="00176BD1" w:rsidRPr="00176BD1" w:rsidRDefault="00AC08E1" w:rsidP="00F95777">
      <w:pPr>
        <w:jc w:val="both"/>
        <w:rPr>
          <w:rFonts w:ascii="Times New Roman" w:hAnsi="Times New Roman" w:cs="Times New Roman"/>
        </w:rPr>
      </w:pPr>
      <w:r>
        <w:rPr>
          <w:rFonts w:ascii="Times New Roman" w:hAnsi="Times New Roman" w:cs="Times New Roman"/>
        </w:rPr>
        <w:t>County staff</w:t>
      </w:r>
      <w:r w:rsidR="00176BD1" w:rsidRPr="00176BD1">
        <w:rPr>
          <w:rFonts w:ascii="Times New Roman" w:hAnsi="Times New Roman" w:cs="Times New Roman"/>
        </w:rPr>
        <w:t xml:space="preserve"> implemented </w:t>
      </w:r>
      <w:r>
        <w:rPr>
          <w:rFonts w:ascii="Times New Roman" w:hAnsi="Times New Roman" w:cs="Times New Roman"/>
        </w:rPr>
        <w:t xml:space="preserve">Wage Pathways </w:t>
      </w:r>
      <w:r w:rsidR="00176BD1" w:rsidRPr="00176BD1">
        <w:rPr>
          <w:rFonts w:ascii="Times New Roman" w:hAnsi="Times New Roman" w:cs="Times New Roman"/>
        </w:rPr>
        <w:t xml:space="preserve">with fidelity to its intended design. </w:t>
      </w:r>
      <w:r>
        <w:rPr>
          <w:rFonts w:ascii="Times New Roman" w:hAnsi="Times New Roman" w:cs="Times New Roman"/>
        </w:rPr>
        <w:t xml:space="preserve"> </w:t>
      </w:r>
      <w:r w:rsidR="00176BD1" w:rsidRPr="00176BD1">
        <w:rPr>
          <w:rFonts w:ascii="Times New Roman" w:hAnsi="Times New Roman" w:cs="Times New Roman"/>
        </w:rPr>
        <w:t xml:space="preserve">All sites complied with the requirements of the model designed the Ohio Department of Job and Family Services, which are listed in Figure </w:t>
      </w:r>
      <w:r w:rsidR="002B1D0F">
        <w:rPr>
          <w:rFonts w:ascii="Times New Roman" w:hAnsi="Times New Roman" w:cs="Times New Roman"/>
        </w:rPr>
        <w:t>1</w:t>
      </w:r>
      <w:r w:rsidR="00176BD1" w:rsidRPr="00176BD1">
        <w:rPr>
          <w:rFonts w:ascii="Times New Roman" w:hAnsi="Times New Roman" w:cs="Times New Roman"/>
        </w:rPr>
        <w:t xml:space="preserve">, above. </w:t>
      </w:r>
    </w:p>
    <w:p w14:paraId="30286D0D" w14:textId="77777777" w:rsidR="00176BD1" w:rsidRPr="00176BD1" w:rsidRDefault="00AC08E1" w:rsidP="00F95777">
      <w:pPr>
        <w:jc w:val="both"/>
        <w:rPr>
          <w:rFonts w:ascii="Times New Roman" w:hAnsi="Times New Roman" w:cs="Times New Roman"/>
        </w:rPr>
      </w:pPr>
      <w:r>
        <w:rPr>
          <w:rFonts w:ascii="Times New Roman" w:hAnsi="Times New Roman" w:cs="Times New Roman"/>
        </w:rPr>
        <w:t>We devoted m</w:t>
      </w:r>
      <w:r w:rsidR="00176BD1" w:rsidRPr="00176BD1">
        <w:rPr>
          <w:rFonts w:ascii="Times New Roman" w:hAnsi="Times New Roman" w:cs="Times New Roman"/>
        </w:rPr>
        <w:t xml:space="preserve">uch of the </w:t>
      </w:r>
      <w:r>
        <w:rPr>
          <w:rFonts w:ascii="Times New Roman" w:hAnsi="Times New Roman" w:cs="Times New Roman"/>
        </w:rPr>
        <w:t xml:space="preserve">implementation </w:t>
      </w:r>
      <w:r w:rsidR="00176BD1" w:rsidRPr="00176BD1">
        <w:rPr>
          <w:rFonts w:ascii="Times New Roman" w:hAnsi="Times New Roman" w:cs="Times New Roman"/>
        </w:rPr>
        <w:t xml:space="preserve">evaluation to seeking a unifying theory for </w:t>
      </w:r>
      <w:r>
        <w:rPr>
          <w:rFonts w:ascii="Times New Roman" w:hAnsi="Times New Roman" w:cs="Times New Roman"/>
        </w:rPr>
        <w:t>which</w:t>
      </w:r>
      <w:r w:rsidR="00176BD1" w:rsidRPr="00176BD1">
        <w:rPr>
          <w:rFonts w:ascii="Times New Roman" w:hAnsi="Times New Roman" w:cs="Times New Roman"/>
        </w:rPr>
        <w:t xml:space="preserve"> characteristics, program elements, and contexts were most associated with successful job attainment, retention, and advancement. </w:t>
      </w:r>
      <w:r>
        <w:rPr>
          <w:rFonts w:ascii="Times New Roman" w:hAnsi="Times New Roman" w:cs="Times New Roman"/>
        </w:rPr>
        <w:t xml:space="preserve"> </w:t>
      </w:r>
      <w:r w:rsidR="00176BD1" w:rsidRPr="00176BD1">
        <w:rPr>
          <w:rFonts w:ascii="Times New Roman" w:hAnsi="Times New Roman" w:cs="Times New Roman"/>
        </w:rPr>
        <w:t xml:space="preserve">Statewide, case managers had varying opinions about who is best served by a cash incentives program, who is most likely to achieve the intended outcomes, and </w:t>
      </w:r>
      <w:r>
        <w:rPr>
          <w:rFonts w:ascii="Times New Roman" w:hAnsi="Times New Roman" w:cs="Times New Roman"/>
        </w:rPr>
        <w:t>which</w:t>
      </w:r>
      <w:r w:rsidR="00176BD1" w:rsidRPr="00176BD1">
        <w:rPr>
          <w:rFonts w:ascii="Times New Roman" w:hAnsi="Times New Roman" w:cs="Times New Roman"/>
        </w:rPr>
        <w:t xml:space="preserve"> contextual services are most supportive.</w:t>
      </w:r>
    </w:p>
    <w:p w14:paraId="19EC56CE" w14:textId="2C842038" w:rsidR="00176BD1" w:rsidRDefault="00176BD1" w:rsidP="00F95777">
      <w:pPr>
        <w:jc w:val="both"/>
        <w:rPr>
          <w:rFonts w:ascii="Times New Roman" w:hAnsi="Times New Roman" w:cs="Times New Roman"/>
        </w:rPr>
      </w:pPr>
      <w:r w:rsidRPr="00176BD1">
        <w:rPr>
          <w:rFonts w:ascii="Times New Roman" w:hAnsi="Times New Roman" w:cs="Times New Roman"/>
        </w:rPr>
        <w:t xml:space="preserve">In general, participants, in collaboration with case managers, </w:t>
      </w:r>
      <w:r w:rsidR="00151DD5">
        <w:rPr>
          <w:rFonts w:ascii="Times New Roman" w:hAnsi="Times New Roman" w:cs="Times New Roman"/>
        </w:rPr>
        <w:t>developed vague IOPs that</w:t>
      </w:r>
      <w:r w:rsidRPr="00176BD1">
        <w:rPr>
          <w:rFonts w:ascii="Times New Roman" w:hAnsi="Times New Roman" w:cs="Times New Roman"/>
        </w:rPr>
        <w:t xml:space="preserve"> did not provide clear goals or routes for career advancement.  For example, “get a job” or “earn more money” were common goals listed in IOPs. Several case managers commented that the development of specific IOPs, which require participants to conceptualize a longer-term vision, was challenging in a short time frame because individuals were often focused on solving immediate challenges. Two organizations, Towards Employment and Guidestone, required Wage Pathways participants to engage in multi-week job readiness programming prior to becoming eligible to receive incentives through the Wage Pathways program. These organizations were able to dedicate additional time to helping participants envision longer-term pathways in their IOPs.</w:t>
      </w:r>
    </w:p>
    <w:p w14:paraId="63D4C322" w14:textId="4BC26DD0" w:rsidR="00B444A2" w:rsidRPr="00176BD1" w:rsidRDefault="00B444A2" w:rsidP="00F95777">
      <w:pPr>
        <w:jc w:val="both"/>
        <w:rPr>
          <w:rFonts w:ascii="Times New Roman" w:hAnsi="Times New Roman" w:cs="Times New Roman"/>
        </w:rPr>
      </w:pPr>
      <w:r w:rsidRPr="00B444A2">
        <w:rPr>
          <w:rFonts w:ascii="Times New Roman" w:hAnsi="Times New Roman" w:cs="Times New Roman"/>
          <w:highlight w:val="yellow"/>
        </w:rPr>
        <w:t>Another weakness in the implementation was that while ODJFS provided the counties with training on how to provide career coaching to the counties’ clients, this training did not appear to get translated into the coaching the clients actually received.  In part, this reflected the focus of clients on the more immediate problems in their lives as opposed to longer-term considerations.  This would tend to reduce  the long-term impacts of WP.</w:t>
      </w:r>
      <w:r w:rsidR="00C45483">
        <w:rPr>
          <w:rFonts w:ascii="Times New Roman" w:hAnsi="Times New Roman" w:cs="Times New Roman"/>
        </w:rPr>
        <w:t xml:space="preserve">  </w:t>
      </w:r>
    </w:p>
    <w:p w14:paraId="1ACAD077" w14:textId="77777777" w:rsidR="00176BD1" w:rsidRPr="00176BD1" w:rsidRDefault="00176BD1" w:rsidP="00F95777">
      <w:pPr>
        <w:jc w:val="both"/>
        <w:rPr>
          <w:rFonts w:ascii="Times New Roman" w:hAnsi="Times New Roman" w:cs="Times New Roman"/>
        </w:rPr>
      </w:pPr>
      <w:r w:rsidRPr="00176BD1">
        <w:rPr>
          <w:rFonts w:ascii="Times New Roman" w:hAnsi="Times New Roman" w:cs="Times New Roman"/>
        </w:rPr>
        <w:t>Case managers were fairly unanimous that the individuals most likely to successfully earn cash incentives for job retention and earnings advancement were those that had previously demonstrated an example of reliability and motivation to work prior to Wage Pathways. For example, several case managers believed individuals who had completed some form of workforce training, already had a job, or had a history of workplace reliability were more likely to earn cash incentives. However, only two counties had operationalized approaches for selecting program participants based on previous demonstration of this type of behavior.</w:t>
      </w:r>
      <w:r w:rsidR="000429AC">
        <w:rPr>
          <w:rFonts w:ascii="Times New Roman" w:hAnsi="Times New Roman" w:cs="Times New Roman"/>
        </w:rPr>
        <w:t xml:space="preserve"> </w:t>
      </w:r>
      <w:r w:rsidRPr="00176BD1">
        <w:rPr>
          <w:rFonts w:ascii="Times New Roman" w:hAnsi="Times New Roman" w:cs="Times New Roman"/>
        </w:rPr>
        <w:t xml:space="preserve"> Towards Employment and Guidestone in Cuyahoga County required participants to complete multi-week work readiness courses, and Ashtabula County required individuals to find jobs prior to enrolling in Wage Pathways.</w:t>
      </w:r>
    </w:p>
    <w:p w14:paraId="71AC1E79" w14:textId="23A0D087" w:rsidR="00176BD1" w:rsidRPr="00176BD1" w:rsidRDefault="00176BD1" w:rsidP="00F95777">
      <w:pPr>
        <w:jc w:val="both"/>
        <w:rPr>
          <w:rFonts w:ascii="Times New Roman" w:hAnsi="Times New Roman" w:cs="Times New Roman"/>
        </w:rPr>
      </w:pPr>
      <w:r w:rsidRPr="00176BD1">
        <w:rPr>
          <w:rFonts w:ascii="Times New Roman" w:hAnsi="Times New Roman" w:cs="Times New Roman"/>
        </w:rPr>
        <w:t xml:space="preserve">Case managers believed that the majority of participants were using cash incentives for intended purposes such as bill payments, car repairs, tuition, healthcare, etc. While many case managers were able to cite examples of misused cash incentives, there was not a strong </w:t>
      </w:r>
      <w:r w:rsidR="00C16E81">
        <w:rPr>
          <w:rFonts w:ascii="Times New Roman" w:hAnsi="Times New Roman" w:cs="Times New Roman"/>
        </w:rPr>
        <w:t xml:space="preserve">overall </w:t>
      </w:r>
      <w:r w:rsidRPr="00176BD1">
        <w:rPr>
          <w:rFonts w:ascii="Times New Roman" w:hAnsi="Times New Roman" w:cs="Times New Roman"/>
        </w:rPr>
        <w:t>belief that</w:t>
      </w:r>
      <w:r w:rsidR="00C16E81">
        <w:rPr>
          <w:rFonts w:ascii="Times New Roman" w:hAnsi="Times New Roman" w:cs="Times New Roman"/>
        </w:rPr>
        <w:t xml:space="preserve"> </w:t>
      </w:r>
      <w:r w:rsidRPr="00176BD1">
        <w:rPr>
          <w:rFonts w:ascii="Times New Roman" w:hAnsi="Times New Roman" w:cs="Times New Roman"/>
        </w:rPr>
        <w:t>incentives were misused.</w:t>
      </w:r>
    </w:p>
    <w:p w14:paraId="7319FF77" w14:textId="77777777" w:rsidR="001746F4" w:rsidRPr="001746F4" w:rsidRDefault="001746F4" w:rsidP="001746F4">
      <w:pPr>
        <w:pStyle w:val="Heading1"/>
        <w:rPr>
          <w:rFonts w:ascii="Times New Roman" w:hAnsi="Times New Roman" w:cs="Times New Roman"/>
        </w:rPr>
      </w:pPr>
      <w:bookmarkStart w:id="17" w:name="_Toc20468470"/>
      <w:r>
        <w:rPr>
          <w:rFonts w:ascii="Times New Roman" w:hAnsi="Times New Roman" w:cs="Times New Roman"/>
        </w:rPr>
        <w:t>The Quantitative Evaluation</w:t>
      </w:r>
      <w:bookmarkEnd w:id="17"/>
    </w:p>
    <w:p w14:paraId="476A6DA5" w14:textId="77777777" w:rsidR="00530B2E" w:rsidRDefault="00530B2E" w:rsidP="00F95777">
      <w:pPr>
        <w:pStyle w:val="Heading2"/>
        <w:jc w:val="both"/>
        <w:rPr>
          <w:rFonts w:ascii="Times New Roman" w:hAnsi="Times New Roman" w:cs="Times New Roman"/>
        </w:rPr>
      </w:pPr>
      <w:bookmarkStart w:id="18" w:name="_Toc20468471"/>
      <w:r w:rsidRPr="00530B2E">
        <w:rPr>
          <w:rFonts w:ascii="Times New Roman" w:hAnsi="Times New Roman" w:cs="Times New Roman"/>
        </w:rPr>
        <w:t>The Targeted Population and its Relation to Ohio’s New Service Delivery System</w:t>
      </w:r>
      <w:bookmarkEnd w:id="18"/>
    </w:p>
    <w:p w14:paraId="58FD1EB1" w14:textId="6B6C86C2" w:rsidR="005E3997" w:rsidRDefault="00752BE1" w:rsidP="00F95777">
      <w:pPr>
        <w:jc w:val="both"/>
        <w:rPr>
          <w:rFonts w:ascii="Times New Roman" w:hAnsi="Times New Roman" w:cs="Times New Roman"/>
        </w:rPr>
      </w:pPr>
      <w:r w:rsidRPr="00752BE1">
        <w:rPr>
          <w:rFonts w:ascii="Times New Roman" w:hAnsi="Times New Roman" w:cs="Times New Roman"/>
        </w:rPr>
        <w:t>The Wage Pathways experiment targets youths 18-</w:t>
      </w:r>
      <w:r w:rsidR="00056CAC">
        <w:rPr>
          <w:rFonts w:ascii="Times New Roman" w:hAnsi="Times New Roman" w:cs="Times New Roman"/>
        </w:rPr>
        <w:t xml:space="preserve">24 </w:t>
      </w:r>
      <w:r>
        <w:rPr>
          <w:rFonts w:ascii="Times New Roman" w:hAnsi="Times New Roman" w:cs="Times New Roman"/>
        </w:rPr>
        <w:t>who are eligible for services either through WIOA or TANF.  Reentrants from incarceration may receive CCMEP and WP services.</w:t>
      </w:r>
      <w:r w:rsidRPr="00752BE1">
        <w:rPr>
          <w:rFonts w:ascii="Times New Roman" w:hAnsi="Times New Roman" w:cs="Times New Roman"/>
        </w:rPr>
        <w:t xml:space="preserve"> </w:t>
      </w:r>
      <w:r>
        <w:rPr>
          <w:rFonts w:ascii="Times New Roman" w:hAnsi="Times New Roman" w:cs="Times New Roman"/>
        </w:rPr>
        <w:t>Any</w:t>
      </w:r>
      <w:r w:rsidR="007B1608">
        <w:rPr>
          <w:rFonts w:ascii="Times New Roman" w:hAnsi="Times New Roman" w:cs="Times New Roman"/>
        </w:rPr>
        <w:t xml:space="preserve"> age-eligible youth eligible for CCMEP is, in principle, eligible for WP.  </w:t>
      </w:r>
      <w:r w:rsidR="005E3997">
        <w:rPr>
          <w:rFonts w:ascii="Times New Roman" w:hAnsi="Times New Roman" w:cs="Times New Roman"/>
        </w:rPr>
        <w:t xml:space="preserve">WP focuses on low-income, low-skill young adults who are disconnected from the workforce due to employment barriers (such as legal entanglements, disabilities, </w:t>
      </w:r>
      <w:r w:rsidR="005E3997">
        <w:rPr>
          <w:rFonts w:ascii="Times New Roman" w:hAnsi="Times New Roman" w:cs="Times New Roman"/>
        </w:rPr>
        <w:lastRenderedPageBreak/>
        <w:t xml:space="preserve">lack of credentials or financial instability) that make it difficult for the youth to stay on a long-term occupational path or participate in educational and training programs that lead to credentials and skills </w:t>
      </w:r>
      <w:r w:rsidR="008F09C6">
        <w:rPr>
          <w:rFonts w:ascii="Times New Roman" w:hAnsi="Times New Roman" w:cs="Times New Roman"/>
        </w:rPr>
        <w:t>with</w:t>
      </w:r>
      <w:r w:rsidR="005E3997">
        <w:rPr>
          <w:rFonts w:ascii="Times New Roman" w:hAnsi="Times New Roman" w:cs="Times New Roman"/>
        </w:rPr>
        <w:t xml:space="preserve"> an economic payoff.  </w:t>
      </w:r>
    </w:p>
    <w:p w14:paraId="018F5EA5" w14:textId="208D1281" w:rsidR="004512E7" w:rsidRDefault="007B1608" w:rsidP="00F95777">
      <w:pPr>
        <w:jc w:val="both"/>
        <w:rPr>
          <w:rFonts w:ascii="Times New Roman" w:hAnsi="Times New Roman" w:cs="Times New Roman"/>
        </w:rPr>
      </w:pPr>
      <w:r>
        <w:rPr>
          <w:rFonts w:ascii="Times New Roman" w:hAnsi="Times New Roman" w:cs="Times New Roman"/>
        </w:rPr>
        <w:t xml:space="preserve">However, CCMEP enrollees get screened by staff in the county’s </w:t>
      </w:r>
      <w:r w:rsidR="007031E7">
        <w:rPr>
          <w:rFonts w:ascii="Times New Roman" w:hAnsi="Times New Roman" w:cs="Times New Roman"/>
        </w:rPr>
        <w:t>J</w:t>
      </w:r>
      <w:r>
        <w:rPr>
          <w:rFonts w:ascii="Times New Roman" w:hAnsi="Times New Roman" w:cs="Times New Roman"/>
        </w:rPr>
        <w:t xml:space="preserve">ob and </w:t>
      </w:r>
      <w:r w:rsidR="007031E7">
        <w:rPr>
          <w:rFonts w:ascii="Times New Roman" w:hAnsi="Times New Roman" w:cs="Times New Roman"/>
        </w:rPr>
        <w:t>F</w:t>
      </w:r>
      <w:r>
        <w:rPr>
          <w:rFonts w:ascii="Times New Roman" w:hAnsi="Times New Roman" w:cs="Times New Roman"/>
        </w:rPr>
        <w:t xml:space="preserve">amily </w:t>
      </w:r>
      <w:r w:rsidR="007031E7">
        <w:rPr>
          <w:rFonts w:ascii="Times New Roman" w:hAnsi="Times New Roman" w:cs="Times New Roman"/>
        </w:rPr>
        <w:t>S</w:t>
      </w:r>
      <w:r>
        <w:rPr>
          <w:rFonts w:ascii="Times New Roman" w:hAnsi="Times New Roman" w:cs="Times New Roman"/>
        </w:rPr>
        <w:t>ervices agency to determine whether they are age-eligible as well as “work ready</w:t>
      </w:r>
      <w:r w:rsidR="00363BA3">
        <w:rPr>
          <w:rFonts w:ascii="Times New Roman" w:hAnsi="Times New Roman" w:cs="Times New Roman"/>
        </w:rPr>
        <w:t>.</w:t>
      </w:r>
      <w:r>
        <w:rPr>
          <w:rFonts w:ascii="Times New Roman" w:hAnsi="Times New Roman" w:cs="Times New Roman"/>
        </w:rPr>
        <w:t xml:space="preserve">”  “Work ready” means they </w:t>
      </w:r>
      <w:r w:rsidR="00FD78BD">
        <w:rPr>
          <w:rFonts w:ascii="Times New Roman" w:hAnsi="Times New Roman" w:cs="Times New Roman"/>
        </w:rPr>
        <w:t>can commit to working at least 120 hours per month.  Counties may not have sufficient funds to enroll all youth eligible for the program</w:t>
      </w:r>
      <w:r w:rsidR="00363BA3">
        <w:rPr>
          <w:rFonts w:ascii="Times New Roman" w:hAnsi="Times New Roman" w:cs="Times New Roman"/>
        </w:rPr>
        <w:t>,</w:t>
      </w:r>
      <w:r w:rsidR="00FD78BD">
        <w:rPr>
          <w:rFonts w:ascii="Times New Roman" w:hAnsi="Times New Roman" w:cs="Times New Roman"/>
        </w:rPr>
        <w:t xml:space="preserve"> so county personnel may selectively enroll youths in the program.  This introduces a subjective evaluation of county staff into the process of placing youths into WP.  </w:t>
      </w:r>
      <w:r w:rsidR="002B0CE1">
        <w:rPr>
          <w:rFonts w:ascii="Times New Roman" w:hAnsi="Times New Roman" w:cs="Times New Roman"/>
        </w:rPr>
        <w:t xml:space="preserve">“Creaming” or selecting the possibly participants who are most likely to succeed in a program creates serious problems for the evaluator.  One cannot be sure whether positive impacts for the participants reflects an ability of the program to produce better outcomes for the disadvantage or reflects the ability of program staff to channel participants who are more likely to succeed into the program.  </w:t>
      </w:r>
    </w:p>
    <w:p w14:paraId="742E9A75" w14:textId="08510140" w:rsidR="002B0CE1" w:rsidRDefault="004816F6" w:rsidP="00F95777">
      <w:pPr>
        <w:jc w:val="both"/>
        <w:rPr>
          <w:rFonts w:ascii="Times New Roman" w:hAnsi="Times New Roman" w:cs="Times New Roman"/>
        </w:rPr>
      </w:pPr>
      <w:r>
        <w:rPr>
          <w:rFonts w:ascii="Times New Roman" w:hAnsi="Times New Roman" w:cs="Times New Roman"/>
        </w:rPr>
        <w:t>By using the random assignment of subject and treatment, or a “randomized controlled trial</w:t>
      </w:r>
      <w:r w:rsidR="00363BA3">
        <w:rPr>
          <w:rFonts w:ascii="Times New Roman" w:hAnsi="Times New Roman" w:cs="Times New Roman"/>
        </w:rPr>
        <w:t>,</w:t>
      </w:r>
      <w:r>
        <w:rPr>
          <w:rFonts w:ascii="Times New Roman" w:hAnsi="Times New Roman" w:cs="Times New Roman"/>
        </w:rPr>
        <w:t xml:space="preserve">” evaluation efforts can </w:t>
      </w:r>
      <w:r w:rsidR="002B0CE1">
        <w:rPr>
          <w:rFonts w:ascii="Times New Roman" w:hAnsi="Times New Roman" w:cs="Times New Roman"/>
        </w:rPr>
        <w:t>avoid the confounding of “creaming</w:t>
      </w:r>
      <w:r w:rsidR="00363BA3">
        <w:rPr>
          <w:rFonts w:ascii="Times New Roman" w:hAnsi="Times New Roman" w:cs="Times New Roman"/>
        </w:rPr>
        <w:t>.</w:t>
      </w:r>
      <w:r w:rsidR="002B0CE1">
        <w:rPr>
          <w:rFonts w:ascii="Times New Roman" w:hAnsi="Times New Roman" w:cs="Times New Roman"/>
        </w:rPr>
        <w:t xml:space="preserve">”  </w:t>
      </w:r>
      <w:r w:rsidR="002132EB">
        <w:rPr>
          <w:rFonts w:ascii="Times New Roman" w:hAnsi="Times New Roman" w:cs="Times New Roman"/>
        </w:rPr>
        <w:t>Be</w:t>
      </w:r>
      <w:r>
        <w:rPr>
          <w:rFonts w:ascii="Times New Roman" w:hAnsi="Times New Roman" w:cs="Times New Roman"/>
        </w:rPr>
        <w:t xml:space="preserve">ing a statutory program, </w:t>
      </w:r>
      <w:r w:rsidR="002132EB">
        <w:rPr>
          <w:rFonts w:ascii="Times New Roman" w:hAnsi="Times New Roman" w:cs="Times New Roman"/>
        </w:rPr>
        <w:t xml:space="preserve">the state and counties </w:t>
      </w:r>
      <w:r w:rsidR="00363BA3">
        <w:rPr>
          <w:rFonts w:ascii="Times New Roman" w:hAnsi="Times New Roman" w:cs="Times New Roman"/>
        </w:rPr>
        <w:t xml:space="preserve">felt </w:t>
      </w:r>
      <w:r w:rsidR="002132EB">
        <w:rPr>
          <w:rFonts w:ascii="Times New Roman" w:hAnsi="Times New Roman" w:cs="Times New Roman"/>
        </w:rPr>
        <w:t>random</w:t>
      </w:r>
      <w:r>
        <w:rPr>
          <w:rFonts w:ascii="Times New Roman" w:hAnsi="Times New Roman" w:cs="Times New Roman"/>
        </w:rPr>
        <w:t xml:space="preserve"> assignment of CCMEP benefits </w:t>
      </w:r>
      <w:r w:rsidR="002132EB">
        <w:rPr>
          <w:rFonts w:ascii="Times New Roman" w:hAnsi="Times New Roman" w:cs="Times New Roman"/>
        </w:rPr>
        <w:t xml:space="preserve">at the individual level would be </w:t>
      </w:r>
      <w:r w:rsidR="00F3570B">
        <w:rPr>
          <w:rFonts w:ascii="Times New Roman" w:hAnsi="Times New Roman" w:cs="Times New Roman"/>
        </w:rPr>
        <w:t xml:space="preserve">politically </w:t>
      </w:r>
      <w:r w:rsidR="00363BA3">
        <w:rPr>
          <w:rFonts w:ascii="Times New Roman" w:hAnsi="Times New Roman" w:cs="Times New Roman"/>
        </w:rPr>
        <w:t>un</w:t>
      </w:r>
      <w:r w:rsidR="00F3570B">
        <w:rPr>
          <w:rFonts w:ascii="Times New Roman" w:hAnsi="Times New Roman" w:cs="Times New Roman"/>
        </w:rPr>
        <w:t>acceptable, even for the non-statutory Wage Pathways component.  The compromise the state and counties made was to allow counties to opt into the WP experiment, making all their CCMEP enrollees eligible (in principle) for this 15</w:t>
      </w:r>
      <w:r w:rsidR="00F3570B" w:rsidRPr="00F3570B">
        <w:rPr>
          <w:rFonts w:ascii="Times New Roman" w:hAnsi="Times New Roman" w:cs="Times New Roman"/>
          <w:vertAlign w:val="superscript"/>
        </w:rPr>
        <w:t>th</w:t>
      </w:r>
      <w:r w:rsidR="00744F0A">
        <w:rPr>
          <w:rFonts w:ascii="Times New Roman" w:hAnsi="Times New Roman" w:cs="Times New Roman"/>
        </w:rPr>
        <w:t xml:space="preserve"> CCMEP benefit.  The evaluation team knew randomization at the person level was unacceptable and designed the analysis strategy with this in mind.  The late adoption by Hamilton County (Cincinnati) surprised us and we modified our analysis strategy to account for Hamilton being out of cycle with the other “experimental” counties. The state initially had some difficulties persuading counties to offer the WP component.  However, over time, counties became more supportive </w:t>
      </w:r>
      <w:r w:rsidR="00712A0A">
        <w:rPr>
          <w:rFonts w:ascii="Times New Roman" w:hAnsi="Times New Roman" w:cs="Times New Roman"/>
        </w:rPr>
        <w:t>of the program and that may have contributed</w:t>
      </w:r>
      <w:r w:rsidR="00093C51">
        <w:rPr>
          <w:rFonts w:ascii="Times New Roman" w:hAnsi="Times New Roman" w:cs="Times New Roman"/>
        </w:rPr>
        <w:t xml:space="preserve"> to Hamilton County deciding to</w:t>
      </w:r>
      <w:r w:rsidR="00712A0A">
        <w:rPr>
          <w:rFonts w:ascii="Times New Roman" w:hAnsi="Times New Roman" w:cs="Times New Roman"/>
        </w:rPr>
        <w:t xml:space="preserve"> become an experimental county, albeit late in the process.</w:t>
      </w:r>
      <w:r w:rsidR="00841F47">
        <w:rPr>
          <w:rFonts w:ascii="Times New Roman" w:hAnsi="Times New Roman" w:cs="Times New Roman"/>
        </w:rPr>
        <w:t xml:space="preserve">  We did</w:t>
      </w:r>
      <w:r w:rsidR="0048351A">
        <w:rPr>
          <w:rFonts w:ascii="Times New Roman" w:hAnsi="Times New Roman" w:cs="Times New Roman"/>
        </w:rPr>
        <w:t xml:space="preserve"> not know whether, and in which direction, the selection of the experimental counties might bias the results.  We construct</w:t>
      </w:r>
      <w:r w:rsidR="00841F47">
        <w:rPr>
          <w:rFonts w:ascii="Times New Roman" w:hAnsi="Times New Roman" w:cs="Times New Roman"/>
        </w:rPr>
        <w:t>ed</w:t>
      </w:r>
      <w:r w:rsidR="0048351A">
        <w:rPr>
          <w:rFonts w:ascii="Times New Roman" w:hAnsi="Times New Roman" w:cs="Times New Roman"/>
        </w:rPr>
        <w:t xml:space="preserve"> a set of labor market indicators in an attempt to control for statewide differences in labor market conditions.</w:t>
      </w:r>
    </w:p>
    <w:p w14:paraId="3AE87563" w14:textId="77777777" w:rsidR="00530B2E" w:rsidRPr="00530B2E" w:rsidRDefault="00530B2E" w:rsidP="00F95777">
      <w:pPr>
        <w:pStyle w:val="Heading2"/>
        <w:jc w:val="both"/>
        <w:rPr>
          <w:rFonts w:ascii="Times New Roman" w:hAnsi="Times New Roman" w:cs="Times New Roman"/>
        </w:rPr>
      </w:pPr>
      <w:bookmarkStart w:id="19" w:name="_Toc20468472"/>
      <w:r w:rsidRPr="00530B2E">
        <w:rPr>
          <w:rFonts w:ascii="Times New Roman" w:hAnsi="Times New Roman" w:cs="Times New Roman"/>
        </w:rPr>
        <w:t>The Objectives</w:t>
      </w:r>
      <w:bookmarkEnd w:id="19"/>
    </w:p>
    <w:p w14:paraId="02EC3827" w14:textId="442BEC42" w:rsidR="00530B2E" w:rsidRPr="00530B2E" w:rsidRDefault="00712A0A" w:rsidP="00F95777">
      <w:pPr>
        <w:jc w:val="both"/>
        <w:rPr>
          <w:rFonts w:ascii="Times New Roman" w:hAnsi="Times New Roman" w:cs="Times New Roman"/>
        </w:rPr>
      </w:pPr>
      <w:r>
        <w:rPr>
          <w:rFonts w:ascii="Times New Roman" w:hAnsi="Times New Roman" w:cs="Times New Roman"/>
        </w:rPr>
        <w:t xml:space="preserve">This evaluation </w:t>
      </w:r>
      <w:r w:rsidR="002A47F1">
        <w:rPr>
          <w:rFonts w:ascii="Times New Roman" w:hAnsi="Times New Roman" w:cs="Times New Roman"/>
        </w:rPr>
        <w:t>seeks</w:t>
      </w:r>
      <w:r>
        <w:rPr>
          <w:rFonts w:ascii="Times New Roman" w:hAnsi="Times New Roman" w:cs="Times New Roman"/>
        </w:rPr>
        <w:t xml:space="preserve"> an answer </w:t>
      </w:r>
      <w:r w:rsidR="00756F49">
        <w:rPr>
          <w:rFonts w:ascii="Times New Roman" w:hAnsi="Times New Roman" w:cs="Times New Roman"/>
        </w:rPr>
        <w:t xml:space="preserve">to </w:t>
      </w:r>
      <w:r>
        <w:rPr>
          <w:rFonts w:ascii="Times New Roman" w:hAnsi="Times New Roman" w:cs="Times New Roman"/>
        </w:rPr>
        <w:t>the question whether the Wage Pathways experiment, if implemented state-wide</w:t>
      </w:r>
      <w:r w:rsidR="005E3997">
        <w:rPr>
          <w:rFonts w:ascii="Times New Roman" w:hAnsi="Times New Roman" w:cs="Times New Roman"/>
        </w:rPr>
        <w:t>,</w:t>
      </w:r>
      <w:r>
        <w:rPr>
          <w:rFonts w:ascii="Times New Roman" w:hAnsi="Times New Roman" w:cs="Times New Roman"/>
        </w:rPr>
        <w:t xml:space="preserve"> would contribute to young people becoming </w:t>
      </w:r>
      <w:r w:rsidR="006E32B3">
        <w:rPr>
          <w:rFonts w:ascii="Times New Roman" w:hAnsi="Times New Roman" w:cs="Times New Roman"/>
        </w:rPr>
        <w:t xml:space="preserve">economically </w:t>
      </w:r>
      <w:r>
        <w:rPr>
          <w:rFonts w:ascii="Times New Roman" w:hAnsi="Times New Roman" w:cs="Times New Roman"/>
        </w:rPr>
        <w:t xml:space="preserve">self-sufficient </w:t>
      </w:r>
      <w:r w:rsidR="006E32B3">
        <w:rPr>
          <w:rFonts w:ascii="Times New Roman" w:hAnsi="Times New Roman" w:cs="Times New Roman"/>
        </w:rPr>
        <w:t xml:space="preserve">in a cost-effective manner.  The Wage Pathways incentives encourage young people to behave in ways that enhance their earnings prospects and we bear that in mind in designing the statistical tests.  Specifically, while the null hypothesis </w:t>
      </w:r>
      <w:r w:rsidR="005E3997">
        <w:rPr>
          <w:rFonts w:ascii="Times New Roman" w:hAnsi="Times New Roman" w:cs="Times New Roman"/>
        </w:rPr>
        <w:t>is</w:t>
      </w:r>
      <w:r w:rsidR="006E32B3">
        <w:rPr>
          <w:rFonts w:ascii="Times New Roman" w:hAnsi="Times New Roman" w:cs="Times New Roman"/>
        </w:rPr>
        <w:t xml:space="preserve"> that WP has no effect on behavior, the alternative hypothesis is that WP has a positive effect</w:t>
      </w:r>
      <w:r w:rsidR="00A85AA4">
        <w:rPr>
          <w:rFonts w:ascii="Times New Roman" w:hAnsi="Times New Roman" w:cs="Times New Roman"/>
        </w:rPr>
        <w:t>.  If we find</w:t>
      </w:r>
      <w:r w:rsidR="006E32B3">
        <w:rPr>
          <w:rFonts w:ascii="Times New Roman" w:hAnsi="Times New Roman" w:cs="Times New Roman"/>
        </w:rPr>
        <w:t xml:space="preserve"> </w:t>
      </w:r>
      <w:r w:rsidR="008A2186">
        <w:rPr>
          <w:rFonts w:ascii="Times New Roman" w:hAnsi="Times New Roman" w:cs="Times New Roman"/>
        </w:rPr>
        <w:t xml:space="preserve">WP </w:t>
      </w:r>
      <w:r w:rsidR="00A85AA4">
        <w:rPr>
          <w:rFonts w:ascii="Times New Roman" w:hAnsi="Times New Roman" w:cs="Times New Roman"/>
        </w:rPr>
        <w:t>has</w:t>
      </w:r>
      <w:r w:rsidR="006E32B3">
        <w:rPr>
          <w:rFonts w:ascii="Times New Roman" w:hAnsi="Times New Roman" w:cs="Times New Roman"/>
        </w:rPr>
        <w:t xml:space="preserve"> a negative effect</w:t>
      </w:r>
      <w:r w:rsidR="008A2186">
        <w:rPr>
          <w:rFonts w:ascii="Times New Roman" w:hAnsi="Times New Roman" w:cs="Times New Roman"/>
        </w:rPr>
        <w:t xml:space="preserve"> </w:t>
      </w:r>
      <w:r w:rsidR="006E32B3">
        <w:rPr>
          <w:rFonts w:ascii="Times New Roman" w:hAnsi="Times New Roman" w:cs="Times New Roman"/>
        </w:rPr>
        <w:t>on earnings</w:t>
      </w:r>
      <w:r w:rsidR="00784EA9">
        <w:rPr>
          <w:rFonts w:ascii="Times New Roman" w:hAnsi="Times New Roman" w:cs="Times New Roman"/>
        </w:rPr>
        <w:t>,</w:t>
      </w:r>
      <w:r w:rsidR="008A2186">
        <w:rPr>
          <w:rFonts w:ascii="Times New Roman" w:hAnsi="Times New Roman" w:cs="Times New Roman"/>
        </w:rPr>
        <w:t xml:space="preserve"> we will take </w:t>
      </w:r>
      <w:r w:rsidR="00A85AA4">
        <w:rPr>
          <w:rFonts w:ascii="Times New Roman" w:hAnsi="Times New Roman" w:cs="Times New Roman"/>
        </w:rPr>
        <w:t xml:space="preserve">that finding </w:t>
      </w:r>
      <w:r w:rsidR="008A2186">
        <w:rPr>
          <w:rFonts w:ascii="Times New Roman" w:hAnsi="Times New Roman" w:cs="Times New Roman"/>
        </w:rPr>
        <w:t xml:space="preserve">as evidence there is no effect rather than evidence of an (illogical) negative effect.  Having a one-sided alternative hypothesis </w:t>
      </w:r>
      <w:r w:rsidR="009F1B4E">
        <w:rPr>
          <w:rFonts w:ascii="Times New Roman" w:hAnsi="Times New Roman" w:cs="Times New Roman"/>
        </w:rPr>
        <w:t>makes one-sided tests generically most powerful.</w:t>
      </w:r>
      <w:r w:rsidR="00A85AA4">
        <w:rPr>
          <w:rStyle w:val="FootnoteReference"/>
          <w:rFonts w:ascii="Times New Roman" w:hAnsi="Times New Roman" w:cs="Times New Roman"/>
        </w:rPr>
        <w:footnoteReference w:id="8"/>
      </w:r>
    </w:p>
    <w:p w14:paraId="3B32D3D6" w14:textId="77777777" w:rsidR="00530B2E" w:rsidRPr="003110C1" w:rsidRDefault="00530B2E" w:rsidP="00F95777">
      <w:pPr>
        <w:pStyle w:val="Heading2"/>
        <w:jc w:val="both"/>
        <w:rPr>
          <w:rFonts w:ascii="Times New Roman" w:hAnsi="Times New Roman" w:cs="Times New Roman"/>
        </w:rPr>
      </w:pPr>
      <w:bookmarkStart w:id="20" w:name="_Toc20468473"/>
      <w:r w:rsidRPr="003110C1">
        <w:rPr>
          <w:rFonts w:ascii="Times New Roman" w:hAnsi="Times New Roman" w:cs="Times New Roman"/>
        </w:rPr>
        <w:t>Data Sources</w:t>
      </w:r>
      <w:bookmarkEnd w:id="20"/>
    </w:p>
    <w:p w14:paraId="6EC04A65" w14:textId="77777777" w:rsidR="00B076BB" w:rsidRDefault="00A85AA4" w:rsidP="00F95777">
      <w:pPr>
        <w:jc w:val="both"/>
        <w:rPr>
          <w:rFonts w:ascii="Times New Roman" w:hAnsi="Times New Roman" w:cs="Times New Roman"/>
        </w:rPr>
      </w:pPr>
      <w:r>
        <w:rPr>
          <w:rFonts w:ascii="Times New Roman" w:hAnsi="Times New Roman" w:cs="Times New Roman"/>
        </w:rPr>
        <w:t xml:space="preserve">We use a variety of data sources for the quantitative evaluation, chiefly administrative data.  We </w:t>
      </w:r>
      <w:r w:rsidR="002A47F1">
        <w:rPr>
          <w:rFonts w:ascii="Times New Roman" w:hAnsi="Times New Roman" w:cs="Times New Roman"/>
        </w:rPr>
        <w:t xml:space="preserve">decided that </w:t>
      </w:r>
      <w:r>
        <w:rPr>
          <w:rFonts w:ascii="Times New Roman" w:hAnsi="Times New Roman" w:cs="Times New Roman"/>
        </w:rPr>
        <w:t xml:space="preserve">evaluating WP (and CCMEP) using bespoke survey data </w:t>
      </w:r>
      <w:r w:rsidR="002A47F1">
        <w:rPr>
          <w:rFonts w:ascii="Times New Roman" w:hAnsi="Times New Roman" w:cs="Times New Roman"/>
        </w:rPr>
        <w:t xml:space="preserve">was </w:t>
      </w:r>
      <w:r w:rsidR="007F1761">
        <w:rPr>
          <w:rFonts w:ascii="Times New Roman" w:hAnsi="Times New Roman" w:cs="Times New Roman"/>
        </w:rPr>
        <w:t>an inferior approach because survey methods have high costs and non-response has become a serious problem.</w:t>
      </w:r>
      <w:r w:rsidR="007F1761">
        <w:rPr>
          <w:rStyle w:val="FootnoteReference"/>
          <w:rFonts w:ascii="Times New Roman" w:hAnsi="Times New Roman" w:cs="Times New Roman"/>
        </w:rPr>
        <w:footnoteReference w:id="9"/>
      </w:r>
      <w:r w:rsidR="007F1761">
        <w:rPr>
          <w:rFonts w:ascii="Times New Roman" w:hAnsi="Times New Roman" w:cs="Times New Roman"/>
        </w:rPr>
        <w:t xml:space="preserve">  </w:t>
      </w:r>
      <w:r w:rsidR="00735D26">
        <w:rPr>
          <w:rFonts w:ascii="Times New Roman" w:hAnsi="Times New Roman" w:cs="Times New Roman"/>
        </w:rPr>
        <w:t>Legal complications can make it difficult to use administrative data for evaluations</w:t>
      </w:r>
      <w:r w:rsidR="00140090">
        <w:rPr>
          <w:rFonts w:ascii="Times New Roman" w:hAnsi="Times New Roman" w:cs="Times New Roman"/>
        </w:rPr>
        <w:t>,</w:t>
      </w:r>
      <w:r w:rsidR="002A47F1">
        <w:rPr>
          <w:rFonts w:ascii="Times New Roman" w:hAnsi="Times New Roman" w:cs="Times New Roman"/>
        </w:rPr>
        <w:t xml:space="preserve"> as u</w:t>
      </w:r>
      <w:r w:rsidR="00735D26">
        <w:rPr>
          <w:rFonts w:ascii="Times New Roman" w:hAnsi="Times New Roman" w:cs="Times New Roman"/>
        </w:rPr>
        <w:t xml:space="preserve">se of these data falls under regulatory restrictions </w:t>
      </w:r>
      <w:r w:rsidR="00735D26">
        <w:rPr>
          <w:rFonts w:ascii="Times New Roman" w:hAnsi="Times New Roman" w:cs="Times New Roman"/>
        </w:rPr>
        <w:lastRenderedPageBreak/>
        <w:t xml:space="preserve">imposed by various state and Federal agencies.  </w:t>
      </w:r>
      <w:r w:rsidR="00FA7FAA">
        <w:rPr>
          <w:rFonts w:ascii="Times New Roman" w:hAnsi="Times New Roman" w:cs="Times New Roman"/>
        </w:rPr>
        <w:t xml:space="preserve">For example, ODJFS controls access to UI Earnings data because of their responsibility to administer the unemployment compensation program.  On the other hand, TANF and SNAP data, while in the custody of ODJFS, have their access restricted by the US Department of Health and Human Services.  </w:t>
      </w:r>
      <w:r w:rsidR="00C333A4">
        <w:rPr>
          <w:rFonts w:ascii="Times New Roman" w:hAnsi="Times New Roman" w:cs="Times New Roman"/>
        </w:rPr>
        <w:t xml:space="preserve">Obtaining administrative data, especially when one needs personal identifiers to link across databases, requires time, patience, and considerable paper work.  Fortuitously, OSU and several Ohio agencies have, for the past decade, been constructing the Ohio Longitudinal Data Archive (OLDA).  Over several years, OSU and these agencies have negotiated data sharing agreements and instituted a governance structure to facilitate data sharing among agencies.  Without the OLDA framework and the network of institutional connections OLDA created, we could not have assembled the administrative data necessary to evaluate WP (or CCMEP) within the necessary time frame. </w:t>
      </w:r>
    </w:p>
    <w:p w14:paraId="27F57DE8" w14:textId="40ED9585" w:rsidR="00C333A4" w:rsidRDefault="00B076BB" w:rsidP="00F95777">
      <w:pPr>
        <w:jc w:val="both"/>
        <w:rPr>
          <w:rFonts w:ascii="Times New Roman" w:hAnsi="Times New Roman" w:cs="Times New Roman"/>
        </w:rPr>
      </w:pPr>
      <w:r>
        <w:rPr>
          <w:rFonts w:ascii="Times New Roman" w:hAnsi="Times New Roman" w:cs="Times New Roman"/>
        </w:rPr>
        <w:t xml:space="preserve">It takes time for ODJFS to process the data streams that feed its data holdings and, after processing those data, ODJFS needs to forward those data to OSU and the OLDA for editing, re-shaping, documenting and loading into the OLDA data structure.  Consequently, the evaluators have access to the newest installment of quarterly administrative data about two quarters after the close of a quarter.  The Wage Pathways (WP) program, including funding for its evaluation, ends September 30, 2019.  This lag in data availability limits the period we must choose as </w:t>
      </w:r>
      <w:r w:rsidRPr="00C511A0">
        <w:rPr>
          <w:rFonts w:ascii="Times New Roman" w:hAnsi="Times New Roman" w:cs="Times New Roman"/>
        </w:rPr>
        <w:t xml:space="preserve">the post-onset period.  As we will see below, the employment data have a strong seasonal component and this required us to select pre- and post-onset periods of 4 quarters to avoid seasonality contaminating the analysis.   </w:t>
      </w:r>
      <w:r>
        <w:rPr>
          <w:rFonts w:ascii="Times New Roman" w:hAnsi="Times New Roman" w:cs="Times New Roman"/>
        </w:rPr>
        <w:t>D</w:t>
      </w:r>
      <w:r w:rsidRPr="00C511A0">
        <w:rPr>
          <w:rFonts w:ascii="Times New Roman" w:hAnsi="Times New Roman" w:cs="Times New Roman"/>
        </w:rPr>
        <w:t>ata from 2</w:t>
      </w:r>
      <w:r w:rsidRPr="00C511A0">
        <w:rPr>
          <w:rFonts w:ascii="Times New Roman" w:hAnsi="Times New Roman" w:cs="Times New Roman"/>
          <w:vertAlign w:val="superscript"/>
        </w:rPr>
        <w:t>nd</w:t>
      </w:r>
      <w:r w:rsidRPr="00C511A0">
        <w:rPr>
          <w:rFonts w:ascii="Times New Roman" w:hAnsi="Times New Roman" w:cs="Times New Roman"/>
        </w:rPr>
        <w:t xml:space="preserve"> </w:t>
      </w:r>
      <w:r>
        <w:rPr>
          <w:rFonts w:ascii="Times New Roman" w:hAnsi="Times New Roman" w:cs="Times New Roman"/>
        </w:rPr>
        <w:t>Q</w:t>
      </w:r>
      <w:r w:rsidRPr="00C511A0">
        <w:rPr>
          <w:rFonts w:ascii="Times New Roman" w:hAnsi="Times New Roman" w:cs="Times New Roman"/>
        </w:rPr>
        <w:t xml:space="preserve">uarter 2019 </w:t>
      </w:r>
      <w:r>
        <w:rPr>
          <w:rFonts w:ascii="Times New Roman" w:hAnsi="Times New Roman" w:cs="Times New Roman"/>
        </w:rPr>
        <w:t>arrived</w:t>
      </w:r>
      <w:r w:rsidRPr="00C511A0">
        <w:rPr>
          <w:rFonts w:ascii="Times New Roman" w:hAnsi="Times New Roman" w:cs="Times New Roman"/>
        </w:rPr>
        <w:t xml:space="preserve"> too </w:t>
      </w:r>
      <w:r>
        <w:rPr>
          <w:rFonts w:ascii="Times New Roman" w:hAnsi="Times New Roman" w:cs="Times New Roman"/>
        </w:rPr>
        <w:t xml:space="preserve">late </w:t>
      </w:r>
      <w:r w:rsidRPr="00C511A0">
        <w:rPr>
          <w:rFonts w:ascii="Times New Roman" w:hAnsi="Times New Roman" w:cs="Times New Roman"/>
        </w:rPr>
        <w:t>to include in the evaluation.  The narrative here conveys</w:t>
      </w:r>
      <w:r w:rsidRPr="0091732A">
        <w:rPr>
          <w:rFonts w:ascii="Times New Roman" w:hAnsi="Times New Roman" w:cs="Times New Roman"/>
        </w:rPr>
        <w:t xml:space="preserve"> the approach taken in the quantitative evaluation and our explanation of the strengths and weaknesses of </w:t>
      </w:r>
      <w:r w:rsidR="006A3342">
        <w:rPr>
          <w:rFonts w:ascii="Times New Roman" w:hAnsi="Times New Roman" w:cs="Times New Roman"/>
        </w:rPr>
        <w:t>that analysis.</w:t>
      </w:r>
    </w:p>
    <w:p w14:paraId="0FEBEA80" w14:textId="77777777" w:rsidR="003110C1" w:rsidRPr="003110C1" w:rsidRDefault="00C333A4" w:rsidP="00F95777">
      <w:pPr>
        <w:jc w:val="both"/>
        <w:rPr>
          <w:rFonts w:ascii="Times New Roman" w:hAnsi="Times New Roman" w:cs="Times New Roman"/>
        </w:rPr>
      </w:pPr>
      <w:r>
        <w:rPr>
          <w:rFonts w:ascii="Times New Roman" w:hAnsi="Times New Roman" w:cs="Times New Roman"/>
        </w:rPr>
        <w:t xml:space="preserve">While we also collected survey data for this evaluation, </w:t>
      </w:r>
      <w:r w:rsidR="005E43F1">
        <w:rPr>
          <w:rFonts w:ascii="Times New Roman" w:hAnsi="Times New Roman" w:cs="Times New Roman"/>
        </w:rPr>
        <w:t>the survey effort focused on those metrics we could not obtain from administrative data; namely, wage rates, hours worked and occupation.  Thanks to our ability to draw on administrative data</w:t>
      </w:r>
      <w:r w:rsidR="002A47F1">
        <w:rPr>
          <w:rFonts w:ascii="Times New Roman" w:hAnsi="Times New Roman" w:cs="Times New Roman"/>
        </w:rPr>
        <w:t>,</w:t>
      </w:r>
      <w:r w:rsidR="005E43F1">
        <w:rPr>
          <w:rFonts w:ascii="Times New Roman" w:hAnsi="Times New Roman" w:cs="Times New Roman"/>
        </w:rPr>
        <w:t xml:space="preserve"> including the intake data collected from youths seeking to enroll in CCMEP, we assemble</w:t>
      </w:r>
      <w:r w:rsidR="002A47F1">
        <w:rPr>
          <w:rFonts w:ascii="Times New Roman" w:hAnsi="Times New Roman" w:cs="Times New Roman"/>
        </w:rPr>
        <w:t>d</w:t>
      </w:r>
      <w:r w:rsidR="005E43F1">
        <w:rPr>
          <w:rFonts w:ascii="Times New Roman" w:hAnsi="Times New Roman" w:cs="Times New Roman"/>
        </w:rPr>
        <w:t xml:space="preserve"> a comprehensive data set to support the evaluation</w:t>
      </w:r>
      <w:r>
        <w:rPr>
          <w:rFonts w:ascii="Times New Roman" w:hAnsi="Times New Roman" w:cs="Times New Roman"/>
        </w:rPr>
        <w:t xml:space="preserve">.  </w:t>
      </w:r>
      <w:r w:rsidR="005E43F1">
        <w:rPr>
          <w:rFonts w:ascii="Times New Roman" w:hAnsi="Times New Roman" w:cs="Times New Roman"/>
        </w:rPr>
        <w:t>The next section details those data resources.</w:t>
      </w:r>
    </w:p>
    <w:p w14:paraId="688FF355" w14:textId="77777777" w:rsidR="003110C1" w:rsidRDefault="003110C1" w:rsidP="00F95777">
      <w:pPr>
        <w:pStyle w:val="Heading3"/>
        <w:jc w:val="both"/>
        <w:rPr>
          <w:rFonts w:ascii="Times New Roman" w:hAnsi="Times New Roman" w:cs="Times New Roman"/>
        </w:rPr>
      </w:pPr>
      <w:bookmarkStart w:id="21" w:name="_Toc20468474"/>
      <w:r w:rsidRPr="003110C1">
        <w:rPr>
          <w:rFonts w:ascii="Times New Roman" w:hAnsi="Times New Roman" w:cs="Times New Roman"/>
        </w:rPr>
        <w:t>Administrative Data</w:t>
      </w:r>
      <w:bookmarkEnd w:id="21"/>
    </w:p>
    <w:p w14:paraId="757704FA" w14:textId="77777777" w:rsidR="003110C1" w:rsidRDefault="003110C1" w:rsidP="00F95777">
      <w:pPr>
        <w:jc w:val="both"/>
        <w:rPr>
          <w:rFonts w:ascii="Times New Roman" w:hAnsi="Times New Roman" w:cs="Times New Roman"/>
        </w:rPr>
      </w:pPr>
      <w:r w:rsidRPr="000463F8">
        <w:rPr>
          <w:rStyle w:val="Heading4Char"/>
          <w:rFonts w:ascii="Times New Roman" w:hAnsi="Times New Roman" w:cs="Times New Roman"/>
        </w:rPr>
        <w:t>UI Earnings Data</w:t>
      </w:r>
      <w:r w:rsidR="002827E8">
        <w:rPr>
          <w:rFonts w:ascii="Times New Roman" w:hAnsi="Times New Roman" w:cs="Times New Roman"/>
        </w:rPr>
        <w:t xml:space="preserve"> – Starting in 2002, CHRR at </w:t>
      </w:r>
      <w:r w:rsidR="00140090">
        <w:rPr>
          <w:rFonts w:ascii="Times New Roman" w:hAnsi="Times New Roman" w:cs="Times New Roman"/>
        </w:rPr>
        <w:t xml:space="preserve">The </w:t>
      </w:r>
      <w:r w:rsidR="002827E8">
        <w:rPr>
          <w:rFonts w:ascii="Times New Roman" w:hAnsi="Times New Roman" w:cs="Times New Roman"/>
        </w:rPr>
        <w:t xml:space="preserve">Ohio State University archived Ohio’s UI Earnings data, as well as the Quarterly Census of Employment and </w:t>
      </w:r>
      <w:r w:rsidR="005E3997">
        <w:rPr>
          <w:rFonts w:ascii="Times New Roman" w:hAnsi="Times New Roman" w:cs="Times New Roman"/>
        </w:rPr>
        <w:t>Wages</w:t>
      </w:r>
      <w:r w:rsidR="005E3997">
        <w:rPr>
          <w:rStyle w:val="FootnoteReference"/>
          <w:rFonts w:ascii="Times New Roman" w:hAnsi="Times New Roman" w:cs="Times New Roman"/>
        </w:rPr>
        <w:footnoteReference w:id="10"/>
      </w:r>
      <w:r w:rsidR="002827E8">
        <w:rPr>
          <w:rFonts w:ascii="Times New Roman" w:hAnsi="Times New Roman" w:cs="Times New Roman"/>
        </w:rPr>
        <w:t xml:space="preserve">.  CHRR re-configured the quarterly UI Earnings reports into a file with each person being a logical record with that person’s earnings for the five employers </w:t>
      </w:r>
      <w:r w:rsidR="005E3997">
        <w:rPr>
          <w:rFonts w:ascii="Times New Roman" w:hAnsi="Times New Roman" w:cs="Times New Roman"/>
        </w:rPr>
        <w:t xml:space="preserve">that paid him/her the most in that quarter </w:t>
      </w:r>
      <w:r w:rsidR="002827E8">
        <w:rPr>
          <w:rFonts w:ascii="Times New Roman" w:hAnsi="Times New Roman" w:cs="Times New Roman"/>
        </w:rPr>
        <w:t xml:space="preserve">(as well as the scrambled EIN for each employer), weeks worked for each employer, the dollar amount of earnings with each employer, </w:t>
      </w:r>
      <w:r w:rsidR="00664B34">
        <w:rPr>
          <w:rFonts w:ascii="Times New Roman" w:hAnsi="Times New Roman" w:cs="Times New Roman"/>
        </w:rPr>
        <w:t xml:space="preserve">the number of </w:t>
      </w:r>
      <w:r w:rsidR="00D8158D">
        <w:rPr>
          <w:rFonts w:ascii="Times New Roman" w:hAnsi="Times New Roman" w:cs="Times New Roman"/>
        </w:rPr>
        <w:t>w</w:t>
      </w:r>
      <w:r w:rsidR="00664B34">
        <w:rPr>
          <w:rFonts w:ascii="Times New Roman" w:hAnsi="Times New Roman" w:cs="Times New Roman"/>
        </w:rPr>
        <w:t xml:space="preserve">eeks the person worked for that employer in the quarter, </w:t>
      </w:r>
      <w:r w:rsidR="00BF5B8D">
        <w:rPr>
          <w:rFonts w:ascii="Times New Roman" w:hAnsi="Times New Roman" w:cs="Times New Roman"/>
        </w:rPr>
        <w:t xml:space="preserve">the industry code that matches the employer’s EIN, </w:t>
      </w:r>
      <w:r w:rsidR="002827E8">
        <w:rPr>
          <w:rFonts w:ascii="Times New Roman" w:hAnsi="Times New Roman" w:cs="Times New Roman"/>
        </w:rPr>
        <w:t xml:space="preserve">and total </w:t>
      </w:r>
      <w:r w:rsidR="00664B34">
        <w:rPr>
          <w:rFonts w:ascii="Times New Roman" w:hAnsi="Times New Roman" w:cs="Times New Roman"/>
        </w:rPr>
        <w:t xml:space="preserve">UI-covered </w:t>
      </w:r>
      <w:r w:rsidR="002827E8">
        <w:rPr>
          <w:rFonts w:ascii="Times New Roman" w:hAnsi="Times New Roman" w:cs="Times New Roman"/>
        </w:rPr>
        <w:t xml:space="preserve">earnings in the quarter for </w:t>
      </w:r>
      <w:r w:rsidR="00664B34">
        <w:rPr>
          <w:rFonts w:ascii="Times New Roman" w:hAnsi="Times New Roman" w:cs="Times New Roman"/>
        </w:rPr>
        <w:t>that person</w:t>
      </w:r>
      <w:r w:rsidR="002827E8">
        <w:rPr>
          <w:rFonts w:ascii="Times New Roman" w:hAnsi="Times New Roman" w:cs="Times New Roman"/>
        </w:rPr>
        <w:t>.</w:t>
      </w:r>
      <w:r w:rsidR="002827E8">
        <w:rPr>
          <w:rStyle w:val="FootnoteReference"/>
          <w:rFonts w:ascii="Times New Roman" w:hAnsi="Times New Roman" w:cs="Times New Roman"/>
        </w:rPr>
        <w:footnoteReference w:id="11"/>
      </w:r>
      <w:r w:rsidR="002827E8">
        <w:rPr>
          <w:rFonts w:ascii="Times New Roman" w:hAnsi="Times New Roman" w:cs="Times New Roman"/>
        </w:rPr>
        <w:t xml:space="preserve">  </w:t>
      </w:r>
      <w:r w:rsidR="00664B34">
        <w:rPr>
          <w:rFonts w:ascii="Times New Roman" w:hAnsi="Times New Roman" w:cs="Times New Roman"/>
        </w:rPr>
        <w:t>These data go back to 1995, covering about 1</w:t>
      </w:r>
      <w:r w:rsidR="00BF5B8D">
        <w:rPr>
          <w:rFonts w:ascii="Times New Roman" w:hAnsi="Times New Roman" w:cs="Times New Roman"/>
        </w:rPr>
        <w:t>5</w:t>
      </w:r>
      <w:r w:rsidR="00664B34">
        <w:rPr>
          <w:rFonts w:ascii="Times New Roman" w:hAnsi="Times New Roman" w:cs="Times New Roman"/>
        </w:rPr>
        <w:t xml:space="preserve"> million persons</w:t>
      </w:r>
      <w:r w:rsidR="00BF5B8D">
        <w:rPr>
          <w:rFonts w:ascii="Times New Roman" w:hAnsi="Times New Roman" w:cs="Times New Roman"/>
        </w:rPr>
        <w:t xml:space="preserve"> in at least one quarter</w:t>
      </w:r>
      <w:r w:rsidR="00664B34">
        <w:rPr>
          <w:rFonts w:ascii="Times New Roman" w:hAnsi="Times New Roman" w:cs="Times New Roman"/>
        </w:rPr>
        <w:t>.  The data do not include earnings for Federal workers</w:t>
      </w:r>
      <w:r w:rsidR="0048351A">
        <w:rPr>
          <w:rFonts w:ascii="Times New Roman" w:hAnsi="Times New Roman" w:cs="Times New Roman"/>
        </w:rPr>
        <w:t>, the self-employed (which would include independent contractors), certain farm workers</w:t>
      </w:r>
      <w:r w:rsidR="00664B34">
        <w:rPr>
          <w:rFonts w:ascii="Times New Roman" w:hAnsi="Times New Roman" w:cs="Times New Roman"/>
        </w:rPr>
        <w:t xml:space="preserve"> and members of the military.</w:t>
      </w:r>
      <w:r w:rsidR="0048351A">
        <w:rPr>
          <w:rStyle w:val="FootnoteReference"/>
          <w:rFonts w:ascii="Times New Roman" w:hAnsi="Times New Roman" w:cs="Times New Roman"/>
        </w:rPr>
        <w:footnoteReference w:id="12"/>
      </w:r>
      <w:r w:rsidR="00664B34">
        <w:rPr>
          <w:rFonts w:ascii="Times New Roman" w:hAnsi="Times New Roman" w:cs="Times New Roman"/>
        </w:rPr>
        <w:t xml:space="preserve">  </w:t>
      </w:r>
      <w:r w:rsidR="0048351A">
        <w:rPr>
          <w:rFonts w:ascii="Times New Roman" w:hAnsi="Times New Roman" w:cs="Times New Roman"/>
        </w:rPr>
        <w:t>For this population the omission of farm work</w:t>
      </w:r>
      <w:r w:rsidR="00E779B2">
        <w:rPr>
          <w:rFonts w:ascii="Times New Roman" w:hAnsi="Times New Roman" w:cs="Times New Roman"/>
        </w:rPr>
        <w:t xml:space="preserve"> and the possibility of free-lance, episodic earnings are the most likely gaps in data coverage.  </w:t>
      </w:r>
      <w:r w:rsidR="00664B34">
        <w:rPr>
          <w:rFonts w:ascii="Times New Roman" w:hAnsi="Times New Roman" w:cs="Times New Roman"/>
        </w:rPr>
        <w:t xml:space="preserve">We use a scrambled, pseudo-SSN to identify people in this file </w:t>
      </w:r>
      <w:r w:rsidR="00664B34">
        <w:rPr>
          <w:rFonts w:ascii="Times New Roman" w:hAnsi="Times New Roman" w:cs="Times New Roman"/>
        </w:rPr>
        <w:lastRenderedPageBreak/>
        <w:t>as well as most other data records in the OLDA.  Data analysts do not have access</w:t>
      </w:r>
      <w:r w:rsidR="00E779B2">
        <w:rPr>
          <w:rFonts w:ascii="Times New Roman" w:hAnsi="Times New Roman" w:cs="Times New Roman"/>
        </w:rPr>
        <w:t xml:space="preserve"> to</w:t>
      </w:r>
      <w:r w:rsidR="00664B34">
        <w:rPr>
          <w:rFonts w:ascii="Times New Roman" w:hAnsi="Times New Roman" w:cs="Times New Roman"/>
        </w:rPr>
        <w:t xml:space="preserve"> </w:t>
      </w:r>
      <w:r w:rsidR="00E779B2">
        <w:rPr>
          <w:rFonts w:ascii="Times New Roman" w:hAnsi="Times New Roman" w:cs="Times New Roman"/>
        </w:rPr>
        <w:t>SSNs</w:t>
      </w:r>
      <w:r w:rsidR="00664B34">
        <w:rPr>
          <w:rFonts w:ascii="Times New Roman" w:hAnsi="Times New Roman" w:cs="Times New Roman"/>
        </w:rPr>
        <w:t xml:space="preserve"> or any other Personal Identifying Information (PII).</w:t>
      </w:r>
      <w:r w:rsidR="002827E8">
        <w:rPr>
          <w:rFonts w:ascii="Times New Roman" w:hAnsi="Times New Roman" w:cs="Times New Roman"/>
        </w:rPr>
        <w:t xml:space="preserve"> </w:t>
      </w:r>
    </w:p>
    <w:p w14:paraId="7206E9BF" w14:textId="77777777" w:rsidR="00CC4F30" w:rsidRDefault="00B54E8C" w:rsidP="00F95777">
      <w:pPr>
        <w:jc w:val="both"/>
        <w:rPr>
          <w:rFonts w:ascii="Times New Roman" w:hAnsi="Times New Roman" w:cs="Times New Roman"/>
        </w:rPr>
      </w:pPr>
      <w:r>
        <w:rPr>
          <w:rFonts w:ascii="Times New Roman" w:hAnsi="Times New Roman" w:cs="Times New Roman"/>
        </w:rPr>
        <w:t xml:space="preserve">While we use the UI Earnings data primarily to measure earnings of the CCMEP enrollees, we also use these data to assess labor markets more generally throughout Ohio.  Using earnings outcomes for youths not in CCMEP but </w:t>
      </w:r>
      <w:r w:rsidR="002A47F1">
        <w:rPr>
          <w:rFonts w:ascii="Times New Roman" w:hAnsi="Times New Roman" w:cs="Times New Roman"/>
        </w:rPr>
        <w:t xml:space="preserve">who </w:t>
      </w:r>
      <w:r>
        <w:rPr>
          <w:rFonts w:ascii="Times New Roman" w:hAnsi="Times New Roman" w:cs="Times New Roman"/>
        </w:rPr>
        <w:t>have strong similarities to their CCMEP peers can provide a useful</w:t>
      </w:r>
      <w:r w:rsidR="002A47F1">
        <w:rPr>
          <w:rFonts w:ascii="Times New Roman" w:hAnsi="Times New Roman" w:cs="Times New Roman"/>
        </w:rPr>
        <w:t>,</w:t>
      </w:r>
      <w:r>
        <w:rPr>
          <w:rFonts w:ascii="Times New Roman" w:hAnsi="Times New Roman" w:cs="Times New Roman"/>
        </w:rPr>
        <w:t xml:space="preserve"> albeit imperfect</w:t>
      </w:r>
      <w:r w:rsidR="002A47F1">
        <w:rPr>
          <w:rFonts w:ascii="Times New Roman" w:hAnsi="Times New Roman" w:cs="Times New Roman"/>
        </w:rPr>
        <w:t>,</w:t>
      </w:r>
      <w:r>
        <w:rPr>
          <w:rFonts w:ascii="Times New Roman" w:hAnsi="Times New Roman" w:cs="Times New Roman"/>
        </w:rPr>
        <w:t xml:space="preserve"> comparison group for assessing labor market conditions.  We return to this topic below, first in our discussion of the Bureau of Motor Vehicles (BMV) data, and again</w:t>
      </w:r>
      <w:r w:rsidR="009B212F">
        <w:rPr>
          <w:rFonts w:ascii="Times New Roman" w:hAnsi="Times New Roman" w:cs="Times New Roman"/>
        </w:rPr>
        <w:t xml:space="preserve"> in the Methods section where we discuss the econometric approach.</w:t>
      </w:r>
    </w:p>
    <w:p w14:paraId="0E423934" w14:textId="7FE38A06" w:rsidR="003110C1" w:rsidRDefault="003110C1" w:rsidP="00F95777">
      <w:pPr>
        <w:jc w:val="both"/>
        <w:rPr>
          <w:rFonts w:ascii="Times New Roman" w:hAnsi="Times New Roman" w:cs="Times New Roman"/>
        </w:rPr>
      </w:pPr>
      <w:r w:rsidRPr="000463F8">
        <w:rPr>
          <w:rStyle w:val="Heading4Char"/>
          <w:rFonts w:ascii="Times New Roman" w:hAnsi="Times New Roman" w:cs="Times New Roman"/>
        </w:rPr>
        <w:t>CCMEP Enrollment Data</w:t>
      </w:r>
      <w:r w:rsidR="00EB3C36">
        <w:rPr>
          <w:rFonts w:ascii="Times New Roman" w:hAnsi="Times New Roman" w:cs="Times New Roman"/>
        </w:rPr>
        <w:t xml:space="preserve"> – When youths seek to enroll in the CCMEP program</w:t>
      </w:r>
      <w:r w:rsidR="0032179F">
        <w:rPr>
          <w:rFonts w:ascii="Times New Roman" w:hAnsi="Times New Roman" w:cs="Times New Roman"/>
        </w:rPr>
        <w:t xml:space="preserve">, </w:t>
      </w:r>
      <w:r w:rsidR="00EB3C36">
        <w:rPr>
          <w:rFonts w:ascii="Times New Roman" w:hAnsi="Times New Roman" w:cs="Times New Roman"/>
        </w:rPr>
        <w:t xml:space="preserve">they complete an assessment that collects data concerning education, barriers to employment, work experience, military experience, legal entanglements, personal well-being and </w:t>
      </w:r>
      <w:r w:rsidR="00EF7802">
        <w:rPr>
          <w:rFonts w:ascii="Times New Roman" w:hAnsi="Times New Roman" w:cs="Times New Roman"/>
        </w:rPr>
        <w:t xml:space="preserve">interests.  This form included the youth’s phone number (primarily a cell phone) that </w:t>
      </w:r>
      <w:r w:rsidR="00F643DB">
        <w:rPr>
          <w:rFonts w:ascii="Times New Roman" w:hAnsi="Times New Roman" w:cs="Times New Roman"/>
        </w:rPr>
        <w:t>CHRR survey specialists</w:t>
      </w:r>
      <w:r w:rsidR="00EF7802">
        <w:rPr>
          <w:rFonts w:ascii="Times New Roman" w:hAnsi="Times New Roman" w:cs="Times New Roman"/>
        </w:rPr>
        <w:t xml:space="preserve"> used to issue invitations to complete our survey (see below).  The CCMEP enrollment assessment collects data on hourly rate of pay and hours worked at the time the youth </w:t>
      </w:r>
      <w:r w:rsidR="002D5F20" w:rsidRPr="002D5F20">
        <w:rPr>
          <w:rFonts w:ascii="Times New Roman" w:hAnsi="Times New Roman" w:cs="Times New Roman"/>
        </w:rPr>
        <w:t xml:space="preserve">completed their entrance assessment, </w:t>
      </w:r>
      <w:r w:rsidR="00EF7802">
        <w:rPr>
          <w:rFonts w:ascii="Times New Roman" w:hAnsi="Times New Roman" w:cs="Times New Roman"/>
        </w:rPr>
        <w:t xml:space="preserve">as well as for any job prior to the one </w:t>
      </w:r>
      <w:r w:rsidR="00BB3362">
        <w:rPr>
          <w:rFonts w:ascii="Times New Roman" w:hAnsi="Times New Roman" w:cs="Times New Roman"/>
        </w:rPr>
        <w:t>they reported as their current job at enrollment.  We made an effort to interview twice anyone</w:t>
      </w:r>
      <w:r w:rsidR="00BB3362">
        <w:rPr>
          <w:rStyle w:val="FootnoteReference"/>
          <w:rFonts w:ascii="Times New Roman" w:hAnsi="Times New Roman" w:cs="Times New Roman"/>
        </w:rPr>
        <w:footnoteReference w:id="13"/>
      </w:r>
      <w:r w:rsidR="00BB3362">
        <w:rPr>
          <w:rFonts w:ascii="Times New Roman" w:hAnsi="Times New Roman" w:cs="Times New Roman"/>
        </w:rPr>
        <w:t xml:space="preserve"> who enrolled in CCMEP so</w:t>
      </w:r>
      <w:r w:rsidR="00EE454B">
        <w:rPr>
          <w:rFonts w:ascii="Times New Roman" w:hAnsi="Times New Roman" w:cs="Times New Roman"/>
        </w:rPr>
        <w:t>,</w:t>
      </w:r>
      <w:r w:rsidR="00BB3362">
        <w:rPr>
          <w:rFonts w:ascii="Times New Roman" w:hAnsi="Times New Roman" w:cs="Times New Roman"/>
        </w:rPr>
        <w:t xml:space="preserve"> in the best case, we would have four observations on wage rates and hours.  </w:t>
      </w:r>
      <w:r w:rsidR="00EF7802">
        <w:rPr>
          <w:rFonts w:ascii="Times New Roman" w:hAnsi="Times New Roman" w:cs="Times New Roman"/>
        </w:rPr>
        <w:t xml:space="preserve"> </w:t>
      </w:r>
      <w:r w:rsidR="00EE454B">
        <w:rPr>
          <w:rFonts w:ascii="Times New Roman" w:hAnsi="Times New Roman" w:cs="Times New Roman"/>
        </w:rPr>
        <w:t xml:space="preserve">As noted above, to participate in WP a youth must enroll in CCMEP and live in a county that offers WP so WP youth are a subset of all CCMEP youth.  The CCMEP enrollment database contains youths who are either eligible or ineligible for WP depending on their county of residence.  </w:t>
      </w:r>
      <w:r w:rsidR="000D501B">
        <w:rPr>
          <w:rFonts w:ascii="Times New Roman" w:hAnsi="Times New Roman" w:cs="Times New Roman"/>
        </w:rPr>
        <w:t xml:space="preserve">The enrollment data, as of the </w:t>
      </w:r>
      <w:r w:rsidR="00EE454B">
        <w:rPr>
          <w:rFonts w:ascii="Times New Roman" w:hAnsi="Times New Roman" w:cs="Times New Roman"/>
        </w:rPr>
        <w:t>F</w:t>
      </w:r>
      <w:r w:rsidR="000D501B">
        <w:rPr>
          <w:rFonts w:ascii="Times New Roman" w:hAnsi="Times New Roman" w:cs="Times New Roman"/>
        </w:rPr>
        <w:t xml:space="preserve">all of 2018, contains data on </w:t>
      </w:r>
      <w:r w:rsidR="00EE454B">
        <w:rPr>
          <w:rFonts w:ascii="Times New Roman" w:hAnsi="Times New Roman" w:cs="Times New Roman"/>
        </w:rPr>
        <w:t>25,178</w:t>
      </w:r>
      <w:r w:rsidR="000D501B">
        <w:rPr>
          <w:rFonts w:ascii="Times New Roman" w:hAnsi="Times New Roman" w:cs="Times New Roman"/>
        </w:rPr>
        <w:t xml:space="preserve"> youths</w:t>
      </w:r>
      <w:r w:rsidR="00EE454B">
        <w:rPr>
          <w:rFonts w:ascii="Times New Roman" w:hAnsi="Times New Roman" w:cs="Times New Roman"/>
        </w:rPr>
        <w:t>.  Starting with these 25,178</w:t>
      </w:r>
      <w:r w:rsidR="007C403D">
        <w:rPr>
          <w:rFonts w:ascii="Times New Roman" w:hAnsi="Times New Roman" w:cs="Times New Roman"/>
        </w:rPr>
        <w:t xml:space="preserve"> individuals</w:t>
      </w:r>
      <w:r w:rsidR="00EE454B">
        <w:rPr>
          <w:rFonts w:ascii="Times New Roman" w:hAnsi="Times New Roman" w:cs="Times New Roman"/>
        </w:rPr>
        <w:t>, we match data from the UI Earnings database (above) and other administrative and survey data (below</w:t>
      </w:r>
      <w:r w:rsidR="00CC4F30">
        <w:rPr>
          <w:rFonts w:ascii="Times New Roman" w:hAnsi="Times New Roman" w:cs="Times New Roman"/>
        </w:rPr>
        <w:t>)</w:t>
      </w:r>
      <w:r w:rsidR="00EE454B">
        <w:rPr>
          <w:rFonts w:ascii="Times New Roman" w:hAnsi="Times New Roman" w:cs="Times New Roman"/>
        </w:rPr>
        <w:t xml:space="preserve"> to constitute the </w:t>
      </w:r>
      <w:r w:rsidR="00CC4F30">
        <w:rPr>
          <w:rFonts w:ascii="Times New Roman" w:hAnsi="Times New Roman" w:cs="Times New Roman"/>
        </w:rPr>
        <w:t>data on eligibles and ineligibles for the analysis.</w:t>
      </w:r>
    </w:p>
    <w:p w14:paraId="1D993A43" w14:textId="77777777" w:rsidR="009C4F98" w:rsidRDefault="009C4F98" w:rsidP="00F95777">
      <w:pPr>
        <w:jc w:val="both"/>
        <w:rPr>
          <w:rFonts w:ascii="Times New Roman" w:hAnsi="Times New Roman" w:cs="Times New Roman"/>
        </w:rPr>
      </w:pPr>
      <w:r w:rsidRPr="000463F8">
        <w:rPr>
          <w:rStyle w:val="Heading4Char"/>
          <w:rFonts w:ascii="Times New Roman" w:hAnsi="Times New Roman" w:cs="Times New Roman"/>
        </w:rPr>
        <w:t>TANF/SNAP Data</w:t>
      </w:r>
      <w:r w:rsidR="004F45CC">
        <w:rPr>
          <w:rFonts w:ascii="Times New Roman" w:hAnsi="Times New Roman" w:cs="Times New Roman"/>
        </w:rPr>
        <w:t xml:space="preserve"> </w:t>
      </w:r>
      <w:r w:rsidR="00BA01D2">
        <w:rPr>
          <w:rFonts w:ascii="Times New Roman" w:hAnsi="Times New Roman" w:cs="Times New Roman"/>
        </w:rPr>
        <w:t>–</w:t>
      </w:r>
      <w:r w:rsidR="004F45CC">
        <w:rPr>
          <w:rFonts w:ascii="Times New Roman" w:hAnsi="Times New Roman" w:cs="Times New Roman"/>
        </w:rPr>
        <w:t xml:space="preserve"> </w:t>
      </w:r>
      <w:r w:rsidR="00BA01D2">
        <w:rPr>
          <w:rFonts w:ascii="Times New Roman" w:hAnsi="Times New Roman" w:cs="Times New Roman"/>
        </w:rPr>
        <w:t xml:space="preserve">Among CCMEP enrollees, personal situations vary.  </w:t>
      </w:r>
      <w:r w:rsidR="005D7B66">
        <w:rPr>
          <w:rFonts w:ascii="Times New Roman" w:hAnsi="Times New Roman" w:cs="Times New Roman"/>
        </w:rPr>
        <w:t>However, TANF/SNAP data allow us to measure enrollees</w:t>
      </w:r>
      <w:r w:rsidR="00D8158D">
        <w:rPr>
          <w:rFonts w:ascii="Times New Roman" w:hAnsi="Times New Roman" w:cs="Times New Roman"/>
        </w:rPr>
        <w:t>’</w:t>
      </w:r>
      <w:r w:rsidR="005D7B66">
        <w:rPr>
          <w:rFonts w:ascii="Times New Roman" w:hAnsi="Times New Roman" w:cs="Times New Roman"/>
        </w:rPr>
        <w:t xml:space="preserve"> cumulative disadvantage as revealed by the number of months during their lifetime they received benefits from those two programs, either directly as the “prime beneficiary” or payee or indirectly as the member of a household or assistance unit receiving benefits under either or both programs.  We limited our data request for these data to a few basic data fields.  While the TANF/SNAP data contain some additional demographic variables, such as citizenship, </w:t>
      </w:r>
      <w:r w:rsidR="0088440C">
        <w:rPr>
          <w:rFonts w:ascii="Times New Roman" w:hAnsi="Times New Roman" w:cs="Times New Roman"/>
        </w:rPr>
        <w:t>we did not use demographics only contained in the TANF/SNAP data to avoid the substantial missing data problems that would result from not having such variables for over half of the enrollees.</w:t>
      </w:r>
    </w:p>
    <w:p w14:paraId="1A5CE2ED" w14:textId="77777777" w:rsidR="0088440C" w:rsidRDefault="0088440C" w:rsidP="00F95777">
      <w:pPr>
        <w:jc w:val="both"/>
        <w:rPr>
          <w:rFonts w:ascii="Times New Roman" w:hAnsi="Times New Roman" w:cs="Times New Roman"/>
        </w:rPr>
      </w:pPr>
      <w:r>
        <w:rPr>
          <w:rFonts w:ascii="Times New Roman" w:hAnsi="Times New Roman" w:cs="Times New Roman"/>
        </w:rPr>
        <w:t xml:space="preserve">To illustrate, </w:t>
      </w:r>
      <w:r w:rsidR="0037019D">
        <w:rPr>
          <w:rFonts w:ascii="Times New Roman" w:hAnsi="Times New Roman" w:cs="Times New Roman"/>
        </w:rPr>
        <w:t>T</w:t>
      </w:r>
      <w:r>
        <w:rPr>
          <w:rFonts w:ascii="Times New Roman" w:hAnsi="Times New Roman" w:cs="Times New Roman"/>
        </w:rPr>
        <w:t xml:space="preserve">able </w:t>
      </w:r>
      <w:r w:rsidR="0037019D">
        <w:rPr>
          <w:rFonts w:ascii="Times New Roman" w:hAnsi="Times New Roman" w:cs="Times New Roman"/>
        </w:rPr>
        <w:t xml:space="preserve">1 </w:t>
      </w:r>
      <w:r>
        <w:rPr>
          <w:rFonts w:ascii="Times New Roman" w:hAnsi="Times New Roman" w:cs="Times New Roman"/>
        </w:rPr>
        <w:t>shows the prevalence of TANF recipiency among enrollees</w:t>
      </w:r>
      <w:r w:rsidR="0037019D">
        <w:rPr>
          <w:rFonts w:ascii="Times New Roman" w:hAnsi="Times New Roman" w:cs="Times New Roman"/>
        </w:rPr>
        <w:t xml:space="preserve"> and Table 2</w:t>
      </w:r>
      <w:r w:rsidR="00D8158D">
        <w:rPr>
          <w:rStyle w:val="FootnoteReference"/>
          <w:rFonts w:ascii="Times New Roman" w:hAnsi="Times New Roman" w:cs="Times New Roman"/>
        </w:rPr>
        <w:footnoteReference w:id="14"/>
      </w:r>
      <w:r w:rsidR="0037019D">
        <w:rPr>
          <w:rFonts w:ascii="Times New Roman" w:hAnsi="Times New Roman" w:cs="Times New Roman"/>
        </w:rPr>
        <w:t xml:space="preserve"> </w:t>
      </w:r>
      <w:r w:rsidR="002A47F1">
        <w:rPr>
          <w:rFonts w:ascii="Times New Roman" w:hAnsi="Times New Roman" w:cs="Times New Roman"/>
        </w:rPr>
        <w:t xml:space="preserve">does the same for </w:t>
      </w:r>
      <w:r w:rsidR="0037019D">
        <w:rPr>
          <w:rFonts w:ascii="Times New Roman" w:hAnsi="Times New Roman" w:cs="Times New Roman"/>
        </w:rPr>
        <w:t>SNAP</w:t>
      </w:r>
      <w:r w:rsidR="002A47F1">
        <w:rPr>
          <w:rFonts w:ascii="Times New Roman" w:hAnsi="Times New Roman" w:cs="Times New Roman"/>
        </w:rPr>
        <w:t>.</w:t>
      </w:r>
    </w:p>
    <w:p w14:paraId="44A9555B" w14:textId="77777777" w:rsidR="00841F47" w:rsidRDefault="00841F47">
      <w:pPr>
        <w:rPr>
          <w:rFonts w:ascii="Times New Roman" w:hAnsi="Times New Roman" w:cs="Times New Roman"/>
        </w:rPr>
      </w:pPr>
      <w:r>
        <w:rPr>
          <w:rFonts w:ascii="Times New Roman" w:hAnsi="Times New Roman" w:cs="Times New Roman"/>
        </w:rPr>
        <w:br w:type="page"/>
      </w:r>
    </w:p>
    <w:p w14:paraId="787A559E" w14:textId="3D2B6408" w:rsidR="0037019D" w:rsidRDefault="0037019D" w:rsidP="00F95777">
      <w:pPr>
        <w:spacing w:after="0"/>
        <w:jc w:val="center"/>
        <w:rPr>
          <w:rFonts w:ascii="Times New Roman" w:hAnsi="Times New Roman" w:cs="Times New Roman"/>
        </w:rPr>
      </w:pPr>
      <w:r>
        <w:rPr>
          <w:rFonts w:ascii="Times New Roman" w:hAnsi="Times New Roman" w:cs="Times New Roman"/>
        </w:rPr>
        <w:lastRenderedPageBreak/>
        <w:t>Table 1</w:t>
      </w:r>
    </w:p>
    <w:p w14:paraId="08337F18" w14:textId="17D85D1F" w:rsidR="0037019D" w:rsidRDefault="0037019D" w:rsidP="00F95777">
      <w:pPr>
        <w:spacing w:after="0"/>
        <w:jc w:val="center"/>
        <w:rPr>
          <w:rFonts w:ascii="Times New Roman" w:hAnsi="Times New Roman" w:cs="Times New Roman"/>
        </w:rPr>
      </w:pPr>
      <w:r>
        <w:rPr>
          <w:rFonts w:ascii="Times New Roman" w:hAnsi="Times New Roman" w:cs="Times New Roman"/>
        </w:rPr>
        <w:t>Months of TANF Receipt by CCMEP Enrollees</w:t>
      </w:r>
      <w:r w:rsidR="005A7125">
        <w:rPr>
          <w:rStyle w:val="FootnoteReference"/>
          <w:rFonts w:ascii="Times New Roman" w:hAnsi="Times New Roman" w:cs="Times New Roman"/>
        </w:rPr>
        <w:footnoteReference w:id="15"/>
      </w:r>
    </w:p>
    <w:tbl>
      <w:tblPr>
        <w:tblW w:w="4600" w:type="dxa"/>
        <w:tblLook w:val="04A0" w:firstRow="1" w:lastRow="0" w:firstColumn="1" w:lastColumn="0" w:noHBand="0" w:noVBand="1"/>
      </w:tblPr>
      <w:tblGrid>
        <w:gridCol w:w="960"/>
        <w:gridCol w:w="3640"/>
      </w:tblGrid>
      <w:tr w:rsidR="005A7125" w:rsidRPr="005A7125" w14:paraId="34C29DCA" w14:textId="77777777" w:rsidTr="005A7125">
        <w:trPr>
          <w:trHeight w:val="300"/>
          <w:tblHeader/>
        </w:trPr>
        <w:tc>
          <w:tcPr>
            <w:tcW w:w="960" w:type="dxa"/>
            <w:tcBorders>
              <w:top w:val="nil"/>
              <w:left w:val="nil"/>
              <w:bottom w:val="nil"/>
              <w:right w:val="nil"/>
            </w:tcBorders>
            <w:shd w:val="clear" w:color="auto" w:fill="auto"/>
            <w:noWrap/>
            <w:vAlign w:val="bottom"/>
            <w:hideMark/>
          </w:tcPr>
          <w:p w14:paraId="020DEBE6"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Count</w:t>
            </w:r>
          </w:p>
        </w:tc>
        <w:tc>
          <w:tcPr>
            <w:tcW w:w="3640" w:type="dxa"/>
            <w:tcBorders>
              <w:top w:val="nil"/>
              <w:left w:val="nil"/>
              <w:bottom w:val="nil"/>
              <w:right w:val="nil"/>
            </w:tcBorders>
            <w:shd w:val="clear" w:color="auto" w:fill="auto"/>
            <w:noWrap/>
            <w:vAlign w:val="bottom"/>
            <w:hideMark/>
          </w:tcPr>
          <w:p w14:paraId="6B1F8F20" w14:textId="77777777" w:rsidR="005A7125" w:rsidRPr="005A7125" w:rsidRDefault="005A7125" w:rsidP="005A7125">
            <w:pPr>
              <w:spacing w:after="0" w:line="240" w:lineRule="auto"/>
              <w:rPr>
                <w:rFonts w:ascii="Times New Roman" w:eastAsia="Times New Roman" w:hAnsi="Times New Roman" w:cs="Times New Roman"/>
                <w:color w:val="000000"/>
              </w:rPr>
            </w:pPr>
            <w:r w:rsidRPr="005A7125">
              <w:rPr>
                <w:rFonts w:ascii="Times New Roman" w:eastAsia="Times New Roman" w:hAnsi="Times New Roman" w:cs="Times New Roman"/>
                <w:color w:val="000000"/>
              </w:rPr>
              <w:t>Cell Description</w:t>
            </w:r>
          </w:p>
        </w:tc>
      </w:tr>
      <w:tr w:rsidR="005A7125" w:rsidRPr="005A7125" w14:paraId="3A0DD2A5" w14:textId="77777777" w:rsidTr="005A7125">
        <w:trPr>
          <w:trHeight w:val="300"/>
          <w:tblHeader/>
        </w:trPr>
        <w:tc>
          <w:tcPr>
            <w:tcW w:w="960" w:type="dxa"/>
            <w:tcBorders>
              <w:top w:val="nil"/>
              <w:left w:val="nil"/>
              <w:bottom w:val="nil"/>
              <w:right w:val="nil"/>
            </w:tcBorders>
            <w:shd w:val="clear" w:color="auto" w:fill="auto"/>
            <w:noWrap/>
            <w:vAlign w:val="bottom"/>
            <w:hideMark/>
          </w:tcPr>
          <w:p w14:paraId="292C0CCD"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100</w:t>
            </w:r>
          </w:p>
        </w:tc>
        <w:tc>
          <w:tcPr>
            <w:tcW w:w="3640" w:type="dxa"/>
            <w:tcBorders>
              <w:top w:val="nil"/>
              <w:left w:val="nil"/>
              <w:bottom w:val="nil"/>
              <w:right w:val="nil"/>
            </w:tcBorders>
            <w:shd w:val="clear" w:color="auto" w:fill="auto"/>
            <w:noWrap/>
            <w:vAlign w:val="center"/>
            <w:hideMark/>
          </w:tcPr>
          <w:p w14:paraId="19F3D3B7" w14:textId="77777777" w:rsidR="005A7125" w:rsidRPr="005A7125" w:rsidRDefault="005A7125" w:rsidP="005A7125">
            <w:pPr>
              <w:spacing w:after="0" w:line="240" w:lineRule="auto"/>
              <w:jc w:val="both"/>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None</w:t>
            </w:r>
          </w:p>
        </w:tc>
      </w:tr>
      <w:tr w:rsidR="005A7125" w:rsidRPr="005A7125" w14:paraId="36516605" w14:textId="77777777" w:rsidTr="005A7125">
        <w:trPr>
          <w:trHeight w:val="300"/>
          <w:tblHeader/>
        </w:trPr>
        <w:tc>
          <w:tcPr>
            <w:tcW w:w="960" w:type="dxa"/>
            <w:tcBorders>
              <w:top w:val="nil"/>
              <w:left w:val="nil"/>
              <w:bottom w:val="nil"/>
              <w:right w:val="nil"/>
            </w:tcBorders>
            <w:shd w:val="clear" w:color="auto" w:fill="auto"/>
            <w:noWrap/>
            <w:vAlign w:val="bottom"/>
            <w:hideMark/>
          </w:tcPr>
          <w:p w14:paraId="3F56E280"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1225</w:t>
            </w:r>
          </w:p>
        </w:tc>
        <w:tc>
          <w:tcPr>
            <w:tcW w:w="3640" w:type="dxa"/>
            <w:tcBorders>
              <w:top w:val="nil"/>
              <w:left w:val="nil"/>
              <w:bottom w:val="nil"/>
              <w:right w:val="nil"/>
            </w:tcBorders>
            <w:shd w:val="clear" w:color="auto" w:fill="auto"/>
            <w:noWrap/>
            <w:vAlign w:val="bottom"/>
            <w:hideMark/>
          </w:tcPr>
          <w:p w14:paraId="033C2B2F"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1-6 months</w:t>
            </w:r>
          </w:p>
        </w:tc>
      </w:tr>
      <w:tr w:rsidR="005A7125" w:rsidRPr="005A7125" w14:paraId="263316A4" w14:textId="77777777" w:rsidTr="005A7125">
        <w:trPr>
          <w:trHeight w:val="300"/>
          <w:tblHeader/>
        </w:trPr>
        <w:tc>
          <w:tcPr>
            <w:tcW w:w="960" w:type="dxa"/>
            <w:tcBorders>
              <w:top w:val="nil"/>
              <w:left w:val="nil"/>
              <w:bottom w:val="nil"/>
              <w:right w:val="nil"/>
            </w:tcBorders>
            <w:shd w:val="clear" w:color="auto" w:fill="auto"/>
            <w:noWrap/>
            <w:vAlign w:val="bottom"/>
            <w:hideMark/>
          </w:tcPr>
          <w:p w14:paraId="6BC38D48"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1230</w:t>
            </w:r>
          </w:p>
        </w:tc>
        <w:tc>
          <w:tcPr>
            <w:tcW w:w="3640" w:type="dxa"/>
            <w:tcBorders>
              <w:top w:val="nil"/>
              <w:left w:val="nil"/>
              <w:bottom w:val="nil"/>
              <w:right w:val="nil"/>
            </w:tcBorders>
            <w:shd w:val="clear" w:color="auto" w:fill="auto"/>
            <w:noWrap/>
            <w:vAlign w:val="bottom"/>
            <w:hideMark/>
          </w:tcPr>
          <w:p w14:paraId="480FEE3B"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7-12 months</w:t>
            </w:r>
          </w:p>
        </w:tc>
      </w:tr>
      <w:tr w:rsidR="005A7125" w:rsidRPr="005A7125" w14:paraId="566022F4" w14:textId="77777777" w:rsidTr="005A7125">
        <w:trPr>
          <w:trHeight w:val="300"/>
          <w:tblHeader/>
        </w:trPr>
        <w:tc>
          <w:tcPr>
            <w:tcW w:w="960" w:type="dxa"/>
            <w:tcBorders>
              <w:top w:val="nil"/>
              <w:left w:val="nil"/>
              <w:bottom w:val="nil"/>
              <w:right w:val="nil"/>
            </w:tcBorders>
            <w:shd w:val="clear" w:color="auto" w:fill="auto"/>
            <w:noWrap/>
            <w:vAlign w:val="bottom"/>
            <w:hideMark/>
          </w:tcPr>
          <w:p w14:paraId="10F856D1"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2015</w:t>
            </w:r>
          </w:p>
        </w:tc>
        <w:tc>
          <w:tcPr>
            <w:tcW w:w="3640" w:type="dxa"/>
            <w:tcBorders>
              <w:top w:val="nil"/>
              <w:left w:val="nil"/>
              <w:bottom w:val="nil"/>
              <w:right w:val="nil"/>
            </w:tcBorders>
            <w:shd w:val="clear" w:color="auto" w:fill="auto"/>
            <w:noWrap/>
            <w:vAlign w:val="bottom"/>
            <w:hideMark/>
          </w:tcPr>
          <w:p w14:paraId="22273D1C"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one through two years</w:t>
            </w:r>
          </w:p>
        </w:tc>
      </w:tr>
      <w:tr w:rsidR="005A7125" w:rsidRPr="005A7125" w14:paraId="6A1A1BCA" w14:textId="77777777" w:rsidTr="005A7125">
        <w:trPr>
          <w:trHeight w:val="300"/>
          <w:tblHeader/>
        </w:trPr>
        <w:tc>
          <w:tcPr>
            <w:tcW w:w="960" w:type="dxa"/>
            <w:tcBorders>
              <w:top w:val="nil"/>
              <w:left w:val="nil"/>
              <w:bottom w:val="nil"/>
              <w:right w:val="nil"/>
            </w:tcBorders>
            <w:shd w:val="clear" w:color="auto" w:fill="auto"/>
            <w:noWrap/>
            <w:vAlign w:val="bottom"/>
            <w:hideMark/>
          </w:tcPr>
          <w:p w14:paraId="4129C4EE"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1699</w:t>
            </w:r>
          </w:p>
        </w:tc>
        <w:tc>
          <w:tcPr>
            <w:tcW w:w="3640" w:type="dxa"/>
            <w:tcBorders>
              <w:top w:val="nil"/>
              <w:left w:val="nil"/>
              <w:bottom w:val="nil"/>
              <w:right w:val="nil"/>
            </w:tcBorders>
            <w:shd w:val="clear" w:color="auto" w:fill="auto"/>
            <w:noWrap/>
            <w:vAlign w:val="bottom"/>
            <w:hideMark/>
          </w:tcPr>
          <w:p w14:paraId="7A74B394"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two through three years</w:t>
            </w:r>
          </w:p>
        </w:tc>
      </w:tr>
      <w:tr w:rsidR="005A7125" w:rsidRPr="005A7125" w14:paraId="44972A35" w14:textId="77777777" w:rsidTr="005A7125">
        <w:trPr>
          <w:trHeight w:val="300"/>
          <w:tblHeader/>
        </w:trPr>
        <w:tc>
          <w:tcPr>
            <w:tcW w:w="960" w:type="dxa"/>
            <w:tcBorders>
              <w:top w:val="nil"/>
              <w:left w:val="nil"/>
              <w:bottom w:val="nil"/>
              <w:right w:val="nil"/>
            </w:tcBorders>
            <w:shd w:val="clear" w:color="auto" w:fill="auto"/>
            <w:noWrap/>
            <w:vAlign w:val="bottom"/>
            <w:hideMark/>
          </w:tcPr>
          <w:p w14:paraId="06A90B4C"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2010</w:t>
            </w:r>
          </w:p>
        </w:tc>
        <w:tc>
          <w:tcPr>
            <w:tcW w:w="3640" w:type="dxa"/>
            <w:tcBorders>
              <w:top w:val="nil"/>
              <w:left w:val="nil"/>
              <w:bottom w:val="nil"/>
              <w:right w:val="nil"/>
            </w:tcBorders>
            <w:shd w:val="clear" w:color="auto" w:fill="auto"/>
            <w:noWrap/>
            <w:vAlign w:val="bottom"/>
            <w:hideMark/>
          </w:tcPr>
          <w:p w14:paraId="1E232034"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three through five years</w:t>
            </w:r>
          </w:p>
        </w:tc>
      </w:tr>
      <w:tr w:rsidR="005A7125" w:rsidRPr="005A7125" w14:paraId="356DC38D" w14:textId="77777777" w:rsidTr="005A7125">
        <w:trPr>
          <w:trHeight w:val="300"/>
          <w:tblHeader/>
        </w:trPr>
        <w:tc>
          <w:tcPr>
            <w:tcW w:w="960" w:type="dxa"/>
            <w:tcBorders>
              <w:top w:val="nil"/>
              <w:left w:val="nil"/>
              <w:bottom w:val="nil"/>
              <w:right w:val="nil"/>
            </w:tcBorders>
            <w:shd w:val="clear" w:color="auto" w:fill="auto"/>
            <w:noWrap/>
            <w:vAlign w:val="bottom"/>
            <w:hideMark/>
          </w:tcPr>
          <w:p w14:paraId="763AF962"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1186</w:t>
            </w:r>
          </w:p>
        </w:tc>
        <w:tc>
          <w:tcPr>
            <w:tcW w:w="3640" w:type="dxa"/>
            <w:tcBorders>
              <w:top w:val="nil"/>
              <w:left w:val="nil"/>
              <w:bottom w:val="nil"/>
              <w:right w:val="nil"/>
            </w:tcBorders>
            <w:shd w:val="clear" w:color="auto" w:fill="auto"/>
            <w:noWrap/>
            <w:vAlign w:val="bottom"/>
            <w:hideMark/>
          </w:tcPr>
          <w:p w14:paraId="4F7E2567"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five through eight years</w:t>
            </w:r>
          </w:p>
        </w:tc>
      </w:tr>
      <w:tr w:rsidR="005A7125" w:rsidRPr="005A7125" w14:paraId="50324808" w14:textId="77777777" w:rsidTr="005A7125">
        <w:trPr>
          <w:trHeight w:val="300"/>
          <w:tblHeader/>
        </w:trPr>
        <w:tc>
          <w:tcPr>
            <w:tcW w:w="960" w:type="dxa"/>
            <w:tcBorders>
              <w:top w:val="nil"/>
              <w:left w:val="nil"/>
              <w:bottom w:val="nil"/>
              <w:right w:val="nil"/>
            </w:tcBorders>
            <w:shd w:val="clear" w:color="auto" w:fill="auto"/>
            <w:noWrap/>
            <w:vAlign w:val="bottom"/>
            <w:hideMark/>
          </w:tcPr>
          <w:p w14:paraId="4EF3B79D"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1720</w:t>
            </w:r>
          </w:p>
        </w:tc>
        <w:tc>
          <w:tcPr>
            <w:tcW w:w="3640" w:type="dxa"/>
            <w:tcBorders>
              <w:top w:val="nil"/>
              <w:left w:val="nil"/>
              <w:bottom w:val="nil"/>
              <w:right w:val="nil"/>
            </w:tcBorders>
            <w:shd w:val="clear" w:color="auto" w:fill="auto"/>
            <w:noWrap/>
            <w:vAlign w:val="bottom"/>
            <w:hideMark/>
          </w:tcPr>
          <w:p w14:paraId="76D7CF22"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eight years through fifteen years</w:t>
            </w:r>
          </w:p>
        </w:tc>
      </w:tr>
      <w:tr w:rsidR="005A7125" w:rsidRPr="005A7125" w14:paraId="0536EBD9" w14:textId="77777777" w:rsidTr="005A7125">
        <w:trPr>
          <w:trHeight w:val="300"/>
          <w:tblHeader/>
        </w:trPr>
        <w:tc>
          <w:tcPr>
            <w:tcW w:w="960" w:type="dxa"/>
            <w:tcBorders>
              <w:top w:val="nil"/>
              <w:left w:val="nil"/>
              <w:bottom w:val="nil"/>
              <w:right w:val="nil"/>
            </w:tcBorders>
            <w:shd w:val="clear" w:color="auto" w:fill="auto"/>
            <w:noWrap/>
            <w:vAlign w:val="bottom"/>
            <w:hideMark/>
          </w:tcPr>
          <w:p w14:paraId="34023E56"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509</w:t>
            </w:r>
          </w:p>
        </w:tc>
        <w:tc>
          <w:tcPr>
            <w:tcW w:w="3640" w:type="dxa"/>
            <w:tcBorders>
              <w:top w:val="nil"/>
              <w:left w:val="nil"/>
              <w:bottom w:val="nil"/>
              <w:right w:val="nil"/>
            </w:tcBorders>
            <w:shd w:val="clear" w:color="auto" w:fill="auto"/>
            <w:noWrap/>
            <w:vAlign w:val="bottom"/>
            <w:hideMark/>
          </w:tcPr>
          <w:p w14:paraId="551E4481"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fifteen years</w:t>
            </w:r>
          </w:p>
        </w:tc>
      </w:tr>
      <w:tr w:rsidR="005A7125" w:rsidRPr="005A7125" w14:paraId="2E1681DB" w14:textId="77777777" w:rsidTr="005A7125">
        <w:trPr>
          <w:trHeight w:val="300"/>
          <w:tblHeader/>
        </w:trPr>
        <w:tc>
          <w:tcPr>
            <w:tcW w:w="960" w:type="dxa"/>
            <w:tcBorders>
              <w:top w:val="nil"/>
              <w:left w:val="nil"/>
              <w:bottom w:val="nil"/>
              <w:right w:val="nil"/>
            </w:tcBorders>
            <w:shd w:val="clear" w:color="auto" w:fill="auto"/>
            <w:noWrap/>
            <w:vAlign w:val="bottom"/>
            <w:hideMark/>
          </w:tcPr>
          <w:p w14:paraId="27029549"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11694</w:t>
            </w:r>
          </w:p>
        </w:tc>
        <w:tc>
          <w:tcPr>
            <w:tcW w:w="3640" w:type="dxa"/>
            <w:tcBorders>
              <w:top w:val="nil"/>
              <w:left w:val="nil"/>
              <w:bottom w:val="nil"/>
              <w:right w:val="nil"/>
            </w:tcBorders>
            <w:shd w:val="clear" w:color="auto" w:fill="auto"/>
            <w:noWrap/>
            <w:vAlign w:val="bottom"/>
            <w:hideMark/>
          </w:tcPr>
          <w:p w14:paraId="2925E6DD"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Total</w:t>
            </w:r>
          </w:p>
        </w:tc>
      </w:tr>
    </w:tbl>
    <w:p w14:paraId="4C3205CC" w14:textId="56313BCA" w:rsidR="00E31876" w:rsidRDefault="00E31876" w:rsidP="005A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14:paraId="361544E4" w14:textId="77777777" w:rsidR="0088440C" w:rsidRDefault="0037019D" w:rsidP="00841F47">
      <w:pPr>
        <w:spacing w:after="0"/>
        <w:jc w:val="center"/>
        <w:rPr>
          <w:rFonts w:ascii="Times New Roman" w:hAnsi="Times New Roman" w:cs="Times New Roman"/>
        </w:rPr>
      </w:pPr>
      <w:r>
        <w:rPr>
          <w:rFonts w:ascii="Times New Roman" w:hAnsi="Times New Roman" w:cs="Times New Roman"/>
        </w:rPr>
        <w:t>Table 2</w:t>
      </w:r>
    </w:p>
    <w:p w14:paraId="6900BA3D" w14:textId="278902F7" w:rsidR="0037019D" w:rsidRDefault="0037019D" w:rsidP="00841F47">
      <w:pPr>
        <w:spacing w:after="0"/>
        <w:jc w:val="center"/>
        <w:rPr>
          <w:rFonts w:ascii="Times New Roman" w:hAnsi="Times New Roman" w:cs="Times New Roman"/>
        </w:rPr>
      </w:pPr>
      <w:r>
        <w:rPr>
          <w:rFonts w:ascii="Times New Roman" w:hAnsi="Times New Roman" w:cs="Times New Roman"/>
        </w:rPr>
        <w:t xml:space="preserve">Months of </w:t>
      </w:r>
      <w:r w:rsidR="00782957">
        <w:rPr>
          <w:rFonts w:ascii="Times New Roman" w:hAnsi="Times New Roman" w:cs="Times New Roman"/>
        </w:rPr>
        <w:t xml:space="preserve">SNAP </w:t>
      </w:r>
      <w:r>
        <w:rPr>
          <w:rFonts w:ascii="Times New Roman" w:hAnsi="Times New Roman" w:cs="Times New Roman"/>
        </w:rPr>
        <w:t>Receipt by CCMEP Enrollees</w:t>
      </w:r>
    </w:p>
    <w:tbl>
      <w:tblPr>
        <w:tblW w:w="4600" w:type="dxa"/>
        <w:tblLook w:val="04A0" w:firstRow="1" w:lastRow="0" w:firstColumn="1" w:lastColumn="0" w:noHBand="0" w:noVBand="1"/>
      </w:tblPr>
      <w:tblGrid>
        <w:gridCol w:w="960"/>
        <w:gridCol w:w="3640"/>
      </w:tblGrid>
      <w:tr w:rsidR="005A7125" w:rsidRPr="005A7125" w14:paraId="68AE3EC1" w14:textId="77777777" w:rsidTr="005A7125">
        <w:trPr>
          <w:trHeight w:val="300"/>
        </w:trPr>
        <w:tc>
          <w:tcPr>
            <w:tcW w:w="960" w:type="dxa"/>
            <w:tcBorders>
              <w:top w:val="nil"/>
              <w:left w:val="nil"/>
              <w:bottom w:val="nil"/>
              <w:right w:val="nil"/>
            </w:tcBorders>
            <w:shd w:val="clear" w:color="auto" w:fill="auto"/>
            <w:noWrap/>
            <w:vAlign w:val="bottom"/>
            <w:hideMark/>
          </w:tcPr>
          <w:p w14:paraId="519C946E"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Count</w:t>
            </w:r>
          </w:p>
        </w:tc>
        <w:tc>
          <w:tcPr>
            <w:tcW w:w="3640" w:type="dxa"/>
            <w:tcBorders>
              <w:top w:val="nil"/>
              <w:left w:val="nil"/>
              <w:bottom w:val="nil"/>
              <w:right w:val="nil"/>
            </w:tcBorders>
            <w:shd w:val="clear" w:color="auto" w:fill="auto"/>
            <w:noWrap/>
            <w:vAlign w:val="bottom"/>
            <w:hideMark/>
          </w:tcPr>
          <w:p w14:paraId="7EF71A05" w14:textId="77777777" w:rsidR="005A7125" w:rsidRPr="005A7125" w:rsidRDefault="005A7125" w:rsidP="005A7125">
            <w:pPr>
              <w:spacing w:after="0" w:line="240" w:lineRule="auto"/>
              <w:rPr>
                <w:rFonts w:ascii="Times New Roman" w:eastAsia="Times New Roman" w:hAnsi="Times New Roman" w:cs="Times New Roman"/>
                <w:color w:val="000000"/>
              </w:rPr>
            </w:pPr>
            <w:r w:rsidRPr="005A7125">
              <w:rPr>
                <w:rFonts w:ascii="Times New Roman" w:eastAsia="Times New Roman" w:hAnsi="Times New Roman" w:cs="Times New Roman"/>
                <w:color w:val="000000"/>
              </w:rPr>
              <w:t>Cell Description</w:t>
            </w:r>
          </w:p>
        </w:tc>
      </w:tr>
      <w:tr w:rsidR="005A7125" w:rsidRPr="005A7125" w14:paraId="0DBACA10" w14:textId="77777777" w:rsidTr="005A7125">
        <w:trPr>
          <w:trHeight w:val="300"/>
        </w:trPr>
        <w:tc>
          <w:tcPr>
            <w:tcW w:w="960" w:type="dxa"/>
            <w:tcBorders>
              <w:top w:val="nil"/>
              <w:left w:val="nil"/>
              <w:bottom w:val="nil"/>
              <w:right w:val="nil"/>
            </w:tcBorders>
            <w:shd w:val="clear" w:color="auto" w:fill="auto"/>
            <w:noWrap/>
            <w:vAlign w:val="bottom"/>
            <w:hideMark/>
          </w:tcPr>
          <w:p w14:paraId="7FAA6593"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53</w:t>
            </w:r>
          </w:p>
        </w:tc>
        <w:tc>
          <w:tcPr>
            <w:tcW w:w="3640" w:type="dxa"/>
            <w:tcBorders>
              <w:top w:val="nil"/>
              <w:left w:val="nil"/>
              <w:bottom w:val="nil"/>
              <w:right w:val="nil"/>
            </w:tcBorders>
            <w:shd w:val="clear" w:color="auto" w:fill="auto"/>
            <w:noWrap/>
            <w:vAlign w:val="center"/>
            <w:hideMark/>
          </w:tcPr>
          <w:p w14:paraId="4707B515" w14:textId="77777777" w:rsidR="005A7125" w:rsidRPr="005A7125" w:rsidRDefault="005A7125" w:rsidP="005A7125">
            <w:pPr>
              <w:spacing w:after="0" w:line="240" w:lineRule="auto"/>
              <w:jc w:val="both"/>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None</w:t>
            </w:r>
          </w:p>
        </w:tc>
      </w:tr>
      <w:tr w:rsidR="005A7125" w:rsidRPr="005A7125" w14:paraId="6A40D7E5" w14:textId="77777777" w:rsidTr="005A7125">
        <w:trPr>
          <w:trHeight w:val="300"/>
        </w:trPr>
        <w:tc>
          <w:tcPr>
            <w:tcW w:w="960" w:type="dxa"/>
            <w:tcBorders>
              <w:top w:val="nil"/>
              <w:left w:val="nil"/>
              <w:bottom w:val="nil"/>
              <w:right w:val="nil"/>
            </w:tcBorders>
            <w:shd w:val="clear" w:color="auto" w:fill="auto"/>
            <w:noWrap/>
            <w:vAlign w:val="bottom"/>
            <w:hideMark/>
          </w:tcPr>
          <w:p w14:paraId="51E67CB6"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389</w:t>
            </w:r>
          </w:p>
        </w:tc>
        <w:tc>
          <w:tcPr>
            <w:tcW w:w="3640" w:type="dxa"/>
            <w:tcBorders>
              <w:top w:val="nil"/>
              <w:left w:val="nil"/>
              <w:bottom w:val="nil"/>
              <w:right w:val="nil"/>
            </w:tcBorders>
            <w:shd w:val="clear" w:color="auto" w:fill="auto"/>
            <w:noWrap/>
            <w:vAlign w:val="bottom"/>
            <w:hideMark/>
          </w:tcPr>
          <w:p w14:paraId="124B351A"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1-6 months</w:t>
            </w:r>
          </w:p>
        </w:tc>
      </w:tr>
      <w:tr w:rsidR="005A7125" w:rsidRPr="005A7125" w14:paraId="682967BC" w14:textId="77777777" w:rsidTr="005A7125">
        <w:trPr>
          <w:trHeight w:val="300"/>
        </w:trPr>
        <w:tc>
          <w:tcPr>
            <w:tcW w:w="960" w:type="dxa"/>
            <w:tcBorders>
              <w:top w:val="nil"/>
              <w:left w:val="nil"/>
              <w:bottom w:val="nil"/>
              <w:right w:val="nil"/>
            </w:tcBorders>
            <w:shd w:val="clear" w:color="auto" w:fill="auto"/>
            <w:noWrap/>
            <w:vAlign w:val="bottom"/>
            <w:hideMark/>
          </w:tcPr>
          <w:p w14:paraId="54A767E6"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433</w:t>
            </w:r>
          </w:p>
        </w:tc>
        <w:tc>
          <w:tcPr>
            <w:tcW w:w="3640" w:type="dxa"/>
            <w:tcBorders>
              <w:top w:val="nil"/>
              <w:left w:val="nil"/>
              <w:bottom w:val="nil"/>
              <w:right w:val="nil"/>
            </w:tcBorders>
            <w:shd w:val="clear" w:color="auto" w:fill="auto"/>
            <w:noWrap/>
            <w:vAlign w:val="bottom"/>
            <w:hideMark/>
          </w:tcPr>
          <w:p w14:paraId="3549B820"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7-12 months</w:t>
            </w:r>
          </w:p>
        </w:tc>
      </w:tr>
      <w:tr w:rsidR="005A7125" w:rsidRPr="005A7125" w14:paraId="09A3CC20" w14:textId="77777777" w:rsidTr="005A7125">
        <w:trPr>
          <w:trHeight w:val="300"/>
        </w:trPr>
        <w:tc>
          <w:tcPr>
            <w:tcW w:w="960" w:type="dxa"/>
            <w:tcBorders>
              <w:top w:val="nil"/>
              <w:left w:val="nil"/>
              <w:bottom w:val="nil"/>
              <w:right w:val="nil"/>
            </w:tcBorders>
            <w:shd w:val="clear" w:color="auto" w:fill="auto"/>
            <w:noWrap/>
            <w:vAlign w:val="bottom"/>
            <w:hideMark/>
          </w:tcPr>
          <w:p w14:paraId="177D7569"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662</w:t>
            </w:r>
          </w:p>
        </w:tc>
        <w:tc>
          <w:tcPr>
            <w:tcW w:w="3640" w:type="dxa"/>
            <w:tcBorders>
              <w:top w:val="nil"/>
              <w:left w:val="nil"/>
              <w:bottom w:val="nil"/>
              <w:right w:val="nil"/>
            </w:tcBorders>
            <w:shd w:val="clear" w:color="auto" w:fill="auto"/>
            <w:noWrap/>
            <w:vAlign w:val="bottom"/>
            <w:hideMark/>
          </w:tcPr>
          <w:p w14:paraId="430DF604"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one through two years</w:t>
            </w:r>
          </w:p>
        </w:tc>
      </w:tr>
      <w:tr w:rsidR="005A7125" w:rsidRPr="005A7125" w14:paraId="23224C14" w14:textId="77777777" w:rsidTr="005A7125">
        <w:trPr>
          <w:trHeight w:val="300"/>
        </w:trPr>
        <w:tc>
          <w:tcPr>
            <w:tcW w:w="960" w:type="dxa"/>
            <w:tcBorders>
              <w:top w:val="nil"/>
              <w:left w:val="nil"/>
              <w:bottom w:val="nil"/>
              <w:right w:val="nil"/>
            </w:tcBorders>
            <w:shd w:val="clear" w:color="auto" w:fill="auto"/>
            <w:noWrap/>
            <w:vAlign w:val="bottom"/>
            <w:hideMark/>
          </w:tcPr>
          <w:p w14:paraId="6BDAA4D7"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570</w:t>
            </w:r>
          </w:p>
        </w:tc>
        <w:tc>
          <w:tcPr>
            <w:tcW w:w="3640" w:type="dxa"/>
            <w:tcBorders>
              <w:top w:val="nil"/>
              <w:left w:val="nil"/>
              <w:bottom w:val="nil"/>
              <w:right w:val="nil"/>
            </w:tcBorders>
            <w:shd w:val="clear" w:color="auto" w:fill="auto"/>
            <w:noWrap/>
            <w:vAlign w:val="bottom"/>
            <w:hideMark/>
          </w:tcPr>
          <w:p w14:paraId="3DF2B54E"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two through three years</w:t>
            </w:r>
          </w:p>
        </w:tc>
      </w:tr>
      <w:tr w:rsidR="005A7125" w:rsidRPr="005A7125" w14:paraId="0A3E9DFE" w14:textId="77777777" w:rsidTr="005A7125">
        <w:trPr>
          <w:trHeight w:val="300"/>
        </w:trPr>
        <w:tc>
          <w:tcPr>
            <w:tcW w:w="960" w:type="dxa"/>
            <w:tcBorders>
              <w:top w:val="nil"/>
              <w:left w:val="nil"/>
              <w:bottom w:val="nil"/>
              <w:right w:val="nil"/>
            </w:tcBorders>
            <w:shd w:val="clear" w:color="auto" w:fill="auto"/>
            <w:noWrap/>
            <w:vAlign w:val="bottom"/>
            <w:hideMark/>
          </w:tcPr>
          <w:p w14:paraId="75CD4D77"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1126</w:t>
            </w:r>
          </w:p>
        </w:tc>
        <w:tc>
          <w:tcPr>
            <w:tcW w:w="3640" w:type="dxa"/>
            <w:tcBorders>
              <w:top w:val="nil"/>
              <w:left w:val="nil"/>
              <w:bottom w:val="nil"/>
              <w:right w:val="nil"/>
            </w:tcBorders>
            <w:shd w:val="clear" w:color="auto" w:fill="auto"/>
            <w:noWrap/>
            <w:vAlign w:val="bottom"/>
            <w:hideMark/>
          </w:tcPr>
          <w:p w14:paraId="6021C2E4"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three through five years</w:t>
            </w:r>
          </w:p>
        </w:tc>
      </w:tr>
      <w:tr w:rsidR="005A7125" w:rsidRPr="005A7125" w14:paraId="29E741B3" w14:textId="77777777" w:rsidTr="005A7125">
        <w:trPr>
          <w:trHeight w:val="300"/>
        </w:trPr>
        <w:tc>
          <w:tcPr>
            <w:tcW w:w="960" w:type="dxa"/>
            <w:tcBorders>
              <w:top w:val="nil"/>
              <w:left w:val="nil"/>
              <w:bottom w:val="nil"/>
              <w:right w:val="nil"/>
            </w:tcBorders>
            <w:shd w:val="clear" w:color="auto" w:fill="auto"/>
            <w:noWrap/>
            <w:vAlign w:val="bottom"/>
            <w:hideMark/>
          </w:tcPr>
          <w:p w14:paraId="1F3FC1BD"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1615</w:t>
            </w:r>
          </w:p>
        </w:tc>
        <w:tc>
          <w:tcPr>
            <w:tcW w:w="3640" w:type="dxa"/>
            <w:tcBorders>
              <w:top w:val="nil"/>
              <w:left w:val="nil"/>
              <w:bottom w:val="nil"/>
              <w:right w:val="nil"/>
            </w:tcBorders>
            <w:shd w:val="clear" w:color="auto" w:fill="auto"/>
            <w:noWrap/>
            <w:vAlign w:val="bottom"/>
            <w:hideMark/>
          </w:tcPr>
          <w:p w14:paraId="6BF8266E"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five through eight years</w:t>
            </w:r>
          </w:p>
        </w:tc>
      </w:tr>
      <w:tr w:rsidR="005A7125" w:rsidRPr="005A7125" w14:paraId="5A1DEB4A" w14:textId="77777777" w:rsidTr="005A7125">
        <w:trPr>
          <w:trHeight w:val="300"/>
        </w:trPr>
        <w:tc>
          <w:tcPr>
            <w:tcW w:w="960" w:type="dxa"/>
            <w:tcBorders>
              <w:top w:val="nil"/>
              <w:left w:val="nil"/>
              <w:bottom w:val="nil"/>
              <w:right w:val="nil"/>
            </w:tcBorders>
            <w:shd w:val="clear" w:color="auto" w:fill="auto"/>
            <w:noWrap/>
            <w:vAlign w:val="bottom"/>
            <w:hideMark/>
          </w:tcPr>
          <w:p w14:paraId="27D02DB2"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4405</w:t>
            </w:r>
          </w:p>
        </w:tc>
        <w:tc>
          <w:tcPr>
            <w:tcW w:w="3640" w:type="dxa"/>
            <w:tcBorders>
              <w:top w:val="nil"/>
              <w:left w:val="nil"/>
              <w:bottom w:val="nil"/>
              <w:right w:val="nil"/>
            </w:tcBorders>
            <w:shd w:val="clear" w:color="auto" w:fill="auto"/>
            <w:noWrap/>
            <w:vAlign w:val="bottom"/>
            <w:hideMark/>
          </w:tcPr>
          <w:p w14:paraId="7875CBF2"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eight years through fifteen years</w:t>
            </w:r>
          </w:p>
        </w:tc>
      </w:tr>
      <w:tr w:rsidR="005A7125" w:rsidRPr="005A7125" w14:paraId="5A678499" w14:textId="77777777" w:rsidTr="005A7125">
        <w:trPr>
          <w:trHeight w:val="300"/>
        </w:trPr>
        <w:tc>
          <w:tcPr>
            <w:tcW w:w="960" w:type="dxa"/>
            <w:tcBorders>
              <w:top w:val="nil"/>
              <w:left w:val="nil"/>
              <w:bottom w:val="nil"/>
              <w:right w:val="nil"/>
            </w:tcBorders>
            <w:shd w:val="clear" w:color="auto" w:fill="auto"/>
            <w:noWrap/>
            <w:vAlign w:val="bottom"/>
            <w:hideMark/>
          </w:tcPr>
          <w:p w14:paraId="48D850C5"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2441</w:t>
            </w:r>
          </w:p>
        </w:tc>
        <w:tc>
          <w:tcPr>
            <w:tcW w:w="3640" w:type="dxa"/>
            <w:tcBorders>
              <w:top w:val="nil"/>
              <w:left w:val="nil"/>
              <w:bottom w:val="nil"/>
              <w:right w:val="nil"/>
            </w:tcBorders>
            <w:shd w:val="clear" w:color="auto" w:fill="auto"/>
            <w:noWrap/>
            <w:vAlign w:val="bottom"/>
            <w:hideMark/>
          </w:tcPr>
          <w:p w14:paraId="2D9F7C12"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over fifteen years</w:t>
            </w:r>
          </w:p>
        </w:tc>
      </w:tr>
      <w:tr w:rsidR="005A7125" w:rsidRPr="005A7125" w14:paraId="467F47F7" w14:textId="77777777" w:rsidTr="005A7125">
        <w:trPr>
          <w:trHeight w:val="300"/>
        </w:trPr>
        <w:tc>
          <w:tcPr>
            <w:tcW w:w="960" w:type="dxa"/>
            <w:tcBorders>
              <w:top w:val="nil"/>
              <w:left w:val="nil"/>
              <w:bottom w:val="nil"/>
              <w:right w:val="nil"/>
            </w:tcBorders>
            <w:shd w:val="clear" w:color="auto" w:fill="auto"/>
            <w:noWrap/>
            <w:vAlign w:val="bottom"/>
            <w:hideMark/>
          </w:tcPr>
          <w:p w14:paraId="5056B50D" w14:textId="77777777" w:rsidR="005A7125" w:rsidRPr="005A7125" w:rsidRDefault="005A7125" w:rsidP="005A7125">
            <w:pPr>
              <w:spacing w:after="0" w:line="240" w:lineRule="auto"/>
              <w:jc w:val="right"/>
              <w:rPr>
                <w:rFonts w:ascii="Times New Roman" w:eastAsia="Times New Roman" w:hAnsi="Times New Roman" w:cs="Times New Roman"/>
                <w:color w:val="000000"/>
              </w:rPr>
            </w:pPr>
            <w:r w:rsidRPr="005A7125">
              <w:rPr>
                <w:rFonts w:ascii="Times New Roman" w:eastAsia="Times New Roman" w:hAnsi="Times New Roman" w:cs="Times New Roman"/>
                <w:color w:val="000000"/>
              </w:rPr>
              <w:t>11694</w:t>
            </w:r>
          </w:p>
        </w:tc>
        <w:tc>
          <w:tcPr>
            <w:tcW w:w="3640" w:type="dxa"/>
            <w:tcBorders>
              <w:top w:val="nil"/>
              <w:left w:val="nil"/>
              <w:bottom w:val="nil"/>
              <w:right w:val="nil"/>
            </w:tcBorders>
            <w:shd w:val="clear" w:color="auto" w:fill="auto"/>
            <w:noWrap/>
            <w:vAlign w:val="bottom"/>
            <w:hideMark/>
          </w:tcPr>
          <w:p w14:paraId="296C9AE7" w14:textId="77777777" w:rsidR="005A7125" w:rsidRPr="005A7125" w:rsidRDefault="005A7125" w:rsidP="005A7125">
            <w:pPr>
              <w:spacing w:after="0" w:line="240" w:lineRule="auto"/>
              <w:rPr>
                <w:rFonts w:ascii="Times New Roman" w:eastAsia="Times New Roman" w:hAnsi="Times New Roman" w:cs="Times New Roman"/>
                <w:color w:val="000000"/>
                <w:sz w:val="20"/>
                <w:szCs w:val="20"/>
              </w:rPr>
            </w:pPr>
            <w:r w:rsidRPr="005A7125">
              <w:rPr>
                <w:rFonts w:ascii="Times New Roman" w:eastAsia="Times New Roman" w:hAnsi="Times New Roman" w:cs="Times New Roman"/>
                <w:color w:val="000000"/>
                <w:sz w:val="20"/>
                <w:szCs w:val="20"/>
              </w:rPr>
              <w:t>Total</w:t>
            </w:r>
          </w:p>
        </w:tc>
      </w:tr>
    </w:tbl>
    <w:p w14:paraId="4EC7240C" w14:textId="77777777" w:rsidR="00E31876" w:rsidRPr="0088440C" w:rsidRDefault="00E31876" w:rsidP="00F95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14:paraId="48BEC0B8" w14:textId="77777777" w:rsidR="0088440C" w:rsidRDefault="00E31876" w:rsidP="00F95777">
      <w:pPr>
        <w:jc w:val="both"/>
        <w:rPr>
          <w:rFonts w:ascii="Times New Roman" w:hAnsi="Times New Roman" w:cs="Times New Roman"/>
        </w:rPr>
      </w:pPr>
      <w:r>
        <w:rPr>
          <w:rFonts w:ascii="Times New Roman" w:hAnsi="Times New Roman" w:cs="Times New Roman"/>
        </w:rPr>
        <w:t>As one would expect, these two measures of cumulative disadvantage are highly correlated.</w:t>
      </w:r>
    </w:p>
    <w:p w14:paraId="58F41CF2" w14:textId="77777777" w:rsidR="00211E3F" w:rsidRDefault="00211E3F" w:rsidP="00F95777">
      <w:pPr>
        <w:jc w:val="both"/>
        <w:rPr>
          <w:rFonts w:ascii="Times New Roman" w:hAnsi="Times New Roman" w:cs="Times New Roman"/>
        </w:rPr>
      </w:pPr>
      <w:r>
        <w:rPr>
          <w:rStyle w:val="Heading4Char"/>
          <w:rFonts w:ascii="Times New Roman" w:hAnsi="Times New Roman" w:cs="Times New Roman"/>
        </w:rPr>
        <w:t>PIRL</w:t>
      </w:r>
      <w:r w:rsidRPr="000463F8">
        <w:rPr>
          <w:rStyle w:val="Heading4Char"/>
          <w:rFonts w:ascii="Times New Roman" w:hAnsi="Times New Roman" w:cs="Times New Roman"/>
        </w:rPr>
        <w:t xml:space="preserve"> Data</w:t>
      </w:r>
      <w:r>
        <w:rPr>
          <w:rFonts w:ascii="Times New Roman" w:hAnsi="Times New Roman" w:cs="Times New Roman"/>
        </w:rPr>
        <w:t xml:space="preserve"> – The WIOA Participant Individual Record Layout (PIRL) data set contains data on various program participants.  ODJFS uses these data to report to the U.S. Department of Labor.  They contain data on race as well as certain key program participation dates.  All CCMEP participants have records in the PIRL.</w:t>
      </w:r>
    </w:p>
    <w:p w14:paraId="28076268" w14:textId="2A6C22C3" w:rsidR="003110C1" w:rsidRDefault="003110C1" w:rsidP="00F95777">
      <w:pPr>
        <w:jc w:val="both"/>
        <w:rPr>
          <w:rFonts w:ascii="Times New Roman" w:hAnsi="Times New Roman" w:cs="Times New Roman"/>
        </w:rPr>
      </w:pPr>
      <w:r w:rsidRPr="000463F8">
        <w:rPr>
          <w:rStyle w:val="Heading4Char"/>
          <w:rFonts w:ascii="Times New Roman" w:hAnsi="Times New Roman" w:cs="Times New Roman"/>
        </w:rPr>
        <w:t>Bureau of Motor Vehicles Data</w:t>
      </w:r>
      <w:r w:rsidR="00E31876">
        <w:rPr>
          <w:rFonts w:ascii="Times New Roman" w:hAnsi="Times New Roman" w:cs="Times New Roman"/>
        </w:rPr>
        <w:t xml:space="preserve"> </w:t>
      </w:r>
      <w:r w:rsidR="00BC745A">
        <w:rPr>
          <w:rFonts w:ascii="Times New Roman" w:hAnsi="Times New Roman" w:cs="Times New Roman"/>
        </w:rPr>
        <w:t>–</w:t>
      </w:r>
      <w:r w:rsidR="00E31876">
        <w:rPr>
          <w:rFonts w:ascii="Times New Roman" w:hAnsi="Times New Roman" w:cs="Times New Roman"/>
        </w:rPr>
        <w:t xml:space="preserve"> </w:t>
      </w:r>
      <w:r w:rsidR="00BC745A">
        <w:rPr>
          <w:rFonts w:ascii="Times New Roman" w:hAnsi="Times New Roman" w:cs="Times New Roman"/>
        </w:rPr>
        <w:t>This data set contains data on everyone holding an Ohio driver’s license plus those holding a state</w:t>
      </w:r>
      <w:r w:rsidR="006E14F3">
        <w:rPr>
          <w:rFonts w:ascii="Times New Roman" w:hAnsi="Times New Roman" w:cs="Times New Roman"/>
        </w:rPr>
        <w:t>-</w:t>
      </w:r>
      <w:r w:rsidR="00BC745A">
        <w:rPr>
          <w:rFonts w:ascii="Times New Roman" w:hAnsi="Times New Roman" w:cs="Times New Roman"/>
        </w:rPr>
        <w:t>issued ID.  The Bureau of Motor Vehicles (BMV) issues both these IDs.   This file contains data for about 11.7 million people and contains information on month and year of birth,</w:t>
      </w:r>
      <w:r w:rsidR="00BC745A">
        <w:rPr>
          <w:rStyle w:val="FootnoteReference"/>
          <w:rFonts w:ascii="Times New Roman" w:hAnsi="Times New Roman" w:cs="Times New Roman"/>
        </w:rPr>
        <w:footnoteReference w:id="16"/>
      </w:r>
      <w:r w:rsidR="00BC745A">
        <w:rPr>
          <w:rFonts w:ascii="Times New Roman" w:hAnsi="Times New Roman" w:cs="Times New Roman"/>
        </w:rPr>
        <w:t xml:space="preserve"> gender, county of residence, issue date and the most recent dat</w:t>
      </w:r>
      <w:r w:rsidR="002A47F1">
        <w:rPr>
          <w:rFonts w:ascii="Times New Roman" w:hAnsi="Times New Roman" w:cs="Times New Roman"/>
        </w:rPr>
        <w:t>e</w:t>
      </w:r>
      <w:r w:rsidR="00BC745A">
        <w:rPr>
          <w:rFonts w:ascii="Times New Roman" w:hAnsi="Times New Roman" w:cs="Times New Roman"/>
        </w:rPr>
        <w:t xml:space="preserve"> the person updated their ID.  When we first proposed the evaluation of the Wage Pathways project, OLDA did not hold the BMV ID data.  </w:t>
      </w:r>
      <w:r w:rsidR="006E14F3">
        <w:rPr>
          <w:rFonts w:ascii="Times New Roman" w:hAnsi="Times New Roman" w:cs="Times New Roman"/>
        </w:rPr>
        <w:t>Nearly all</w:t>
      </w:r>
      <w:r w:rsidR="00CE6834">
        <w:rPr>
          <w:rFonts w:ascii="Times New Roman" w:hAnsi="Times New Roman" w:cs="Times New Roman"/>
        </w:rPr>
        <w:t xml:space="preserve"> </w:t>
      </w:r>
      <w:r w:rsidR="00CE6834">
        <w:rPr>
          <w:rFonts w:ascii="Times New Roman" w:hAnsi="Times New Roman" w:cs="Times New Roman"/>
        </w:rPr>
        <w:lastRenderedPageBreak/>
        <w:t>of our CCMEP enrollees match to the BMV data</w:t>
      </w:r>
      <w:r w:rsidR="00BC745A">
        <w:rPr>
          <w:rFonts w:ascii="Times New Roman" w:hAnsi="Times New Roman" w:cs="Times New Roman"/>
        </w:rPr>
        <w:t>.</w:t>
      </w:r>
      <w:r w:rsidR="00CE6834">
        <w:rPr>
          <w:rFonts w:ascii="Times New Roman" w:hAnsi="Times New Roman" w:cs="Times New Roman"/>
        </w:rPr>
        <w:t xml:space="preserve">  Oddly, the enrollment data do not contain gender or county of residence, ma</w:t>
      </w:r>
      <w:r w:rsidR="008212B0">
        <w:rPr>
          <w:rFonts w:ascii="Times New Roman" w:hAnsi="Times New Roman" w:cs="Times New Roman"/>
        </w:rPr>
        <w:t>king the BMV data very useful.</w:t>
      </w:r>
    </w:p>
    <w:p w14:paraId="1D228DA7" w14:textId="77777777" w:rsidR="00F643DB" w:rsidRDefault="009C4F98" w:rsidP="00F643DB">
      <w:pPr>
        <w:jc w:val="both"/>
        <w:rPr>
          <w:rFonts w:ascii="Times New Roman" w:hAnsi="Times New Roman" w:cs="Times New Roman"/>
        </w:rPr>
      </w:pPr>
      <w:r w:rsidRPr="000463F8">
        <w:rPr>
          <w:rStyle w:val="Heading4Char"/>
          <w:rFonts w:ascii="Times New Roman" w:hAnsi="Times New Roman" w:cs="Times New Roman"/>
        </w:rPr>
        <w:t>Ancillary Data</w:t>
      </w:r>
      <w:r w:rsidR="00CE6834">
        <w:rPr>
          <w:rFonts w:ascii="Times New Roman" w:hAnsi="Times New Roman" w:cs="Times New Roman"/>
        </w:rPr>
        <w:t xml:space="preserve"> </w:t>
      </w:r>
      <w:r w:rsidR="00022D0C">
        <w:rPr>
          <w:rFonts w:ascii="Times New Roman" w:hAnsi="Times New Roman" w:cs="Times New Roman"/>
        </w:rPr>
        <w:t>–</w:t>
      </w:r>
      <w:r w:rsidR="00CE6834">
        <w:rPr>
          <w:rFonts w:ascii="Times New Roman" w:hAnsi="Times New Roman" w:cs="Times New Roman"/>
        </w:rPr>
        <w:t xml:space="preserve"> </w:t>
      </w:r>
      <w:r w:rsidR="00022D0C">
        <w:rPr>
          <w:rFonts w:ascii="Times New Roman" w:hAnsi="Times New Roman" w:cs="Times New Roman"/>
        </w:rPr>
        <w:t>Only five counties in Ohio offered the Wage Pathway</w:t>
      </w:r>
      <w:r w:rsidR="000E1232">
        <w:rPr>
          <w:rFonts w:ascii="Times New Roman" w:hAnsi="Times New Roman" w:cs="Times New Roman"/>
        </w:rPr>
        <w:t>s</w:t>
      </w:r>
      <w:r w:rsidR="00022D0C">
        <w:rPr>
          <w:rFonts w:ascii="Times New Roman" w:hAnsi="Times New Roman" w:cs="Times New Roman"/>
        </w:rPr>
        <w:t xml:space="preserve"> program to their CCMEP enrollees</w:t>
      </w:r>
      <w:r w:rsidR="006E14F3">
        <w:rPr>
          <w:rFonts w:ascii="Times New Roman" w:hAnsi="Times New Roman" w:cs="Times New Roman"/>
        </w:rPr>
        <w:t>:</w:t>
      </w:r>
      <w:r w:rsidR="00022D0C">
        <w:rPr>
          <w:rFonts w:ascii="Times New Roman" w:hAnsi="Times New Roman" w:cs="Times New Roman"/>
        </w:rPr>
        <w:t xml:space="preserve"> Ashtabula</w:t>
      </w:r>
      <w:r w:rsidR="00820AC6">
        <w:rPr>
          <w:rFonts w:ascii="Times New Roman" w:hAnsi="Times New Roman" w:cs="Times New Roman"/>
        </w:rPr>
        <w:t xml:space="preserve"> (the extreme northeast corner of the state)</w:t>
      </w:r>
      <w:r w:rsidR="00022D0C">
        <w:rPr>
          <w:rFonts w:ascii="Times New Roman" w:hAnsi="Times New Roman" w:cs="Times New Roman"/>
        </w:rPr>
        <w:t>, Cuyahoga (Cleveland area</w:t>
      </w:r>
      <w:r w:rsidR="00820AC6">
        <w:rPr>
          <w:rFonts w:ascii="Times New Roman" w:hAnsi="Times New Roman" w:cs="Times New Roman"/>
        </w:rPr>
        <w:t xml:space="preserve"> bordering Lake Erie</w:t>
      </w:r>
      <w:r w:rsidR="00022D0C">
        <w:rPr>
          <w:rFonts w:ascii="Times New Roman" w:hAnsi="Times New Roman" w:cs="Times New Roman"/>
        </w:rPr>
        <w:t>), Ottawa</w:t>
      </w:r>
      <w:r w:rsidR="00820AC6">
        <w:rPr>
          <w:rFonts w:ascii="Times New Roman" w:hAnsi="Times New Roman" w:cs="Times New Roman"/>
        </w:rPr>
        <w:t xml:space="preserve"> (north central Ohio along Lake Erie)</w:t>
      </w:r>
      <w:r w:rsidR="00022D0C">
        <w:rPr>
          <w:rFonts w:ascii="Times New Roman" w:hAnsi="Times New Roman" w:cs="Times New Roman"/>
        </w:rPr>
        <w:t>, Summit (Akron area</w:t>
      </w:r>
      <w:r w:rsidR="00820AC6">
        <w:rPr>
          <w:rFonts w:ascii="Times New Roman" w:hAnsi="Times New Roman" w:cs="Times New Roman"/>
        </w:rPr>
        <w:t>, just south of Cuyahoga</w:t>
      </w:r>
      <w:r w:rsidR="00022D0C">
        <w:rPr>
          <w:rFonts w:ascii="Times New Roman" w:hAnsi="Times New Roman" w:cs="Times New Roman"/>
        </w:rPr>
        <w:t>) and Hamilton (</w:t>
      </w:r>
      <w:r w:rsidR="00820AC6">
        <w:rPr>
          <w:rFonts w:ascii="Times New Roman" w:hAnsi="Times New Roman" w:cs="Times New Roman"/>
        </w:rPr>
        <w:t xml:space="preserve">in the extreme southwest corner of the state – the </w:t>
      </w:r>
      <w:r w:rsidR="00022D0C">
        <w:rPr>
          <w:rFonts w:ascii="Times New Roman" w:hAnsi="Times New Roman" w:cs="Times New Roman"/>
        </w:rPr>
        <w:t>Cincinnati area).</w:t>
      </w:r>
      <w:r w:rsidR="00820AC6">
        <w:rPr>
          <w:rStyle w:val="FootnoteReference"/>
          <w:rFonts w:ascii="Times New Roman" w:hAnsi="Times New Roman" w:cs="Times New Roman"/>
        </w:rPr>
        <w:footnoteReference w:id="17"/>
      </w:r>
      <w:r w:rsidR="00022D0C">
        <w:rPr>
          <w:rFonts w:ascii="Times New Roman" w:hAnsi="Times New Roman" w:cs="Times New Roman"/>
        </w:rPr>
        <w:t xml:space="preserve">  Hamilton phased in the WP program in the fall of 2018, about a year after the other </w:t>
      </w:r>
      <w:r w:rsidR="00820AC6">
        <w:rPr>
          <w:rFonts w:ascii="Times New Roman" w:hAnsi="Times New Roman" w:cs="Times New Roman"/>
        </w:rPr>
        <w:t xml:space="preserve">four </w:t>
      </w:r>
      <w:r w:rsidR="00022D0C">
        <w:rPr>
          <w:rFonts w:ascii="Times New Roman" w:hAnsi="Times New Roman" w:cs="Times New Roman"/>
        </w:rPr>
        <w:t xml:space="preserve">counties.  This lag makes it somewhat ambiguous whether Hamilton should be included with the other four counties as an experimental site for evaluation purposes.  The danger of having the four counties that adopted WP in 2017 all in the same part of the state is that we may confound locational differences with program </w:t>
      </w:r>
      <w:r w:rsidR="002A47F1">
        <w:rPr>
          <w:rFonts w:ascii="Times New Roman" w:hAnsi="Times New Roman" w:cs="Times New Roman"/>
        </w:rPr>
        <w:t>effect</w:t>
      </w:r>
      <w:r w:rsidR="00022D0C">
        <w:rPr>
          <w:rFonts w:ascii="Times New Roman" w:hAnsi="Times New Roman" w:cs="Times New Roman"/>
        </w:rPr>
        <w:t xml:space="preserve"> differences.</w:t>
      </w:r>
      <w:r w:rsidR="00093C51">
        <w:rPr>
          <w:rStyle w:val="FootnoteReference"/>
          <w:rFonts w:ascii="Times New Roman" w:hAnsi="Times New Roman" w:cs="Times New Roman"/>
        </w:rPr>
        <w:footnoteReference w:id="18"/>
      </w:r>
      <w:r w:rsidR="00022D0C">
        <w:rPr>
          <w:rFonts w:ascii="Times New Roman" w:hAnsi="Times New Roman" w:cs="Times New Roman"/>
        </w:rPr>
        <w:t xml:space="preserve">  The evaluation must analyze the program data as they come to us.  This geographic clustering of the experimental counties led us to explore whether</w:t>
      </w:r>
      <w:r w:rsidR="00C602CD">
        <w:rPr>
          <w:rFonts w:ascii="Times New Roman" w:hAnsi="Times New Roman" w:cs="Times New Roman"/>
        </w:rPr>
        <w:t xml:space="preserve"> we could measure local labor market conditions </w:t>
      </w:r>
      <w:r w:rsidR="004D696F">
        <w:rPr>
          <w:rFonts w:ascii="Times New Roman" w:hAnsi="Times New Roman" w:cs="Times New Roman"/>
        </w:rPr>
        <w:t>and use those to control for differences in labor demand across the various parts of Ohio where WP ineligibles live.  To do this, we merged the UI Earnings data with the BMV data</w:t>
      </w:r>
      <w:r w:rsidR="00F333F0">
        <w:rPr>
          <w:rFonts w:ascii="Times New Roman" w:hAnsi="Times New Roman" w:cs="Times New Roman"/>
        </w:rPr>
        <w:t>,</w:t>
      </w:r>
      <w:r w:rsidR="004D696F">
        <w:rPr>
          <w:rFonts w:ascii="Times New Roman" w:hAnsi="Times New Roman" w:cs="Times New Roman"/>
        </w:rPr>
        <w:t xml:space="preserve"> so for everyone in the UI Earnings data we have their month and year of birth, gender and county of residence.  </w:t>
      </w:r>
      <w:r w:rsidR="00F643DB">
        <w:rPr>
          <w:rFonts w:ascii="Times New Roman" w:hAnsi="Times New Roman" w:cs="Times New Roman"/>
        </w:rPr>
        <w:t xml:space="preserve">The OLDA also holds Ohio Department of Higher Education data for state-supported post-secondary education and training programs.  </w:t>
      </w:r>
    </w:p>
    <w:p w14:paraId="297E0870" w14:textId="291B8997" w:rsidR="004C7426" w:rsidRDefault="00F643DB" w:rsidP="00F643DB">
      <w:pPr>
        <w:jc w:val="both"/>
        <w:rPr>
          <w:rFonts w:ascii="Times New Roman" w:hAnsi="Times New Roman" w:cs="Times New Roman"/>
        </w:rPr>
      </w:pPr>
      <w:r>
        <w:rPr>
          <w:rFonts w:ascii="Times New Roman" w:hAnsi="Times New Roman" w:cs="Times New Roman"/>
        </w:rPr>
        <w:t xml:space="preserve">CCMEP enrollees mostly have high school degrees or less (see the codebook page in Table 3); only 3.3% have educational or training attainment beyond a high school diploma or GED.  We linked the OLDA data on state-supported post-secondary education and training to the merged UI Earnings and BMV data, and then removed  all youths in the CCMEP age cohort who also appear in the higher education file to make the set of non-CCMEP peers more closely resemble our CCMEP enrollees.  While this is an imperfect comparison group, we believe the labor market experiences of this synthetic cohort should be indicative of labor market conditions around Ohio for less-educated </w:t>
      </w:r>
      <w:r w:rsidR="008212B0">
        <w:rPr>
          <w:rFonts w:ascii="Times New Roman" w:hAnsi="Times New Roman" w:cs="Times New Roman"/>
        </w:rPr>
        <w:t>youths in the CCMEP age bands.</w:t>
      </w:r>
    </w:p>
    <w:p w14:paraId="63168714" w14:textId="16A4EA8E" w:rsidR="0037019D" w:rsidRDefault="004C7426" w:rsidP="00F95777">
      <w:pPr>
        <w:jc w:val="both"/>
        <w:rPr>
          <w:rFonts w:ascii="Times New Roman" w:hAnsi="Times New Roman" w:cs="Times New Roman"/>
        </w:rPr>
      </w:pPr>
      <w:r>
        <w:rPr>
          <w:rFonts w:ascii="Times New Roman" w:hAnsi="Times New Roman" w:cs="Times New Roman"/>
        </w:rPr>
        <w:t xml:space="preserve">The desire to measure local labor market conditions in Ohio raises the question </w:t>
      </w:r>
      <w:r w:rsidR="00F11382">
        <w:rPr>
          <w:rFonts w:ascii="Times New Roman" w:hAnsi="Times New Roman" w:cs="Times New Roman"/>
        </w:rPr>
        <w:t xml:space="preserve">of </w:t>
      </w:r>
      <w:r>
        <w:rPr>
          <w:rFonts w:ascii="Times New Roman" w:hAnsi="Times New Roman" w:cs="Times New Roman"/>
        </w:rPr>
        <w:t>just what are the labor markets in Ohio</w:t>
      </w:r>
      <w:r w:rsidR="001242BD">
        <w:rPr>
          <w:rFonts w:ascii="Times New Roman" w:hAnsi="Times New Roman" w:cs="Times New Roman"/>
        </w:rPr>
        <w:t>.</w:t>
      </w:r>
      <w:r>
        <w:rPr>
          <w:rFonts w:ascii="Times New Roman" w:hAnsi="Times New Roman" w:cs="Times New Roman"/>
        </w:rPr>
        <w:t xml:space="preserve">  Rather than attempting to define labor markets in Ohio, we choose to accept the labor market taxonomy developed by ODJFS</w:t>
      </w:r>
      <w:r w:rsidR="0037019D">
        <w:rPr>
          <w:rFonts w:ascii="Times New Roman" w:hAnsi="Times New Roman" w:cs="Times New Roman"/>
        </w:rPr>
        <w:t xml:space="preserve"> as our guide.  </w:t>
      </w:r>
      <w:r>
        <w:rPr>
          <w:rFonts w:ascii="Times New Roman" w:hAnsi="Times New Roman" w:cs="Times New Roman"/>
        </w:rPr>
        <w:t xml:space="preserve">In Figure </w:t>
      </w:r>
      <w:r w:rsidR="002B1D0F">
        <w:rPr>
          <w:rFonts w:ascii="Times New Roman" w:hAnsi="Times New Roman" w:cs="Times New Roman"/>
        </w:rPr>
        <w:t>2</w:t>
      </w:r>
      <w:r>
        <w:rPr>
          <w:rFonts w:ascii="Times New Roman" w:hAnsi="Times New Roman" w:cs="Times New Roman"/>
        </w:rPr>
        <w:t>,</w:t>
      </w:r>
      <w:r w:rsidR="0037019D">
        <w:rPr>
          <w:rFonts w:ascii="Times New Roman" w:hAnsi="Times New Roman" w:cs="Times New Roman"/>
        </w:rPr>
        <w:t xml:space="preserve"> we show the ODJFS-define</w:t>
      </w:r>
      <w:r w:rsidR="002A47F1">
        <w:rPr>
          <w:rFonts w:ascii="Times New Roman" w:hAnsi="Times New Roman" w:cs="Times New Roman"/>
        </w:rPr>
        <w:t>d</w:t>
      </w:r>
      <w:r w:rsidR="0037019D">
        <w:rPr>
          <w:rFonts w:ascii="Times New Roman" w:hAnsi="Times New Roman" w:cs="Times New Roman"/>
        </w:rPr>
        <w:t xml:space="preserve"> labor markets for Ohio.  Note that one labor market (market B in northeast Ohio) contains three of the experimental counties that offer the Wage Pathways program</w:t>
      </w:r>
      <w:r w:rsidR="00F11382">
        <w:rPr>
          <w:rFonts w:ascii="Times New Roman" w:hAnsi="Times New Roman" w:cs="Times New Roman"/>
        </w:rPr>
        <w:t>,</w:t>
      </w:r>
      <w:r w:rsidR="0037019D">
        <w:rPr>
          <w:rFonts w:ascii="Times New Roman" w:hAnsi="Times New Roman" w:cs="Times New Roman"/>
        </w:rPr>
        <w:t xml:space="preserve"> with Ottawa </w:t>
      </w:r>
      <w:r w:rsidR="001242BD">
        <w:rPr>
          <w:rFonts w:ascii="Times New Roman" w:hAnsi="Times New Roman" w:cs="Times New Roman"/>
        </w:rPr>
        <w:t>C</w:t>
      </w:r>
      <w:r w:rsidR="0037019D">
        <w:rPr>
          <w:rFonts w:ascii="Times New Roman" w:hAnsi="Times New Roman" w:cs="Times New Roman"/>
        </w:rPr>
        <w:t xml:space="preserve">ounty being nearby.  </w:t>
      </w:r>
    </w:p>
    <w:p w14:paraId="4FC7069D" w14:textId="78E78654" w:rsidR="00FA55A9" w:rsidRDefault="00FA55A9" w:rsidP="00F95777">
      <w:pPr>
        <w:jc w:val="both"/>
        <w:rPr>
          <w:rFonts w:ascii="Times New Roman" w:hAnsi="Times New Roman" w:cs="Times New Roman"/>
        </w:rPr>
      </w:pPr>
      <w:r>
        <w:rPr>
          <w:rFonts w:ascii="Times New Roman" w:hAnsi="Times New Roman" w:cs="Times New Roman"/>
        </w:rPr>
        <w:t>For Highest Grade Completed, we edited and re-coded the data from the enrollment database.  We applied the following edits:</w:t>
      </w:r>
    </w:p>
    <w:p w14:paraId="75448A09" w14:textId="77777777" w:rsidR="00FA55A9" w:rsidRPr="00FA55A9" w:rsidRDefault="00FA55A9" w:rsidP="00FA55A9">
      <w:pPr>
        <w:pStyle w:val="HTMLPreformatted"/>
        <w:numPr>
          <w:ilvl w:val="0"/>
          <w:numId w:val="8"/>
        </w:numPr>
        <w:jc w:val="both"/>
        <w:rPr>
          <w:rFonts w:ascii="Times New Roman" w:hAnsi="Times New Roman" w:cs="Times New Roman"/>
          <w:sz w:val="22"/>
          <w:szCs w:val="22"/>
        </w:rPr>
      </w:pPr>
      <w:r w:rsidRPr="00FA55A9">
        <w:rPr>
          <w:rFonts w:ascii="Times New Roman" w:hAnsi="Times New Roman" w:cs="Times New Roman"/>
          <w:sz w:val="22"/>
          <w:szCs w:val="22"/>
        </w:rPr>
        <w:t>Anyone reporting a GED who does not report a HS diploma or GED certificate we code 11 years completed. If a person reports 12 or fewer years completed but reports a HS diploma or GED certificate we code as 12 years completed.</w:t>
      </w:r>
    </w:p>
    <w:p w14:paraId="617084C3" w14:textId="77777777" w:rsidR="00FA55A9" w:rsidRPr="00FA55A9" w:rsidRDefault="00FA55A9" w:rsidP="00FA55A9">
      <w:pPr>
        <w:pStyle w:val="HTMLPreformatted"/>
        <w:numPr>
          <w:ilvl w:val="0"/>
          <w:numId w:val="8"/>
        </w:numPr>
        <w:jc w:val="both"/>
        <w:rPr>
          <w:rFonts w:ascii="Times New Roman" w:hAnsi="Times New Roman" w:cs="Times New Roman"/>
          <w:sz w:val="22"/>
          <w:szCs w:val="22"/>
        </w:rPr>
      </w:pPr>
      <w:r w:rsidRPr="00FA55A9">
        <w:rPr>
          <w:rFonts w:ascii="Times New Roman" w:hAnsi="Times New Roman" w:cs="Times New Roman"/>
          <w:sz w:val="22"/>
          <w:szCs w:val="22"/>
        </w:rPr>
        <w:t>If a person reports they are in high school but does not report a highest grade completed, we assign them 9 years completed.</w:t>
      </w:r>
    </w:p>
    <w:p w14:paraId="34A212AB" w14:textId="77777777" w:rsidR="00FA55A9" w:rsidRPr="00FA55A9" w:rsidRDefault="00FA55A9" w:rsidP="00FA55A9">
      <w:pPr>
        <w:pStyle w:val="HTMLPreformatted"/>
        <w:numPr>
          <w:ilvl w:val="0"/>
          <w:numId w:val="8"/>
        </w:numPr>
        <w:jc w:val="both"/>
        <w:rPr>
          <w:rFonts w:ascii="Times New Roman" w:hAnsi="Times New Roman" w:cs="Times New Roman"/>
          <w:sz w:val="22"/>
          <w:szCs w:val="22"/>
        </w:rPr>
      </w:pPr>
      <w:r w:rsidRPr="00FA55A9">
        <w:rPr>
          <w:rFonts w:ascii="Times New Roman" w:hAnsi="Times New Roman" w:cs="Times New Roman"/>
          <w:sz w:val="22"/>
          <w:szCs w:val="22"/>
        </w:rPr>
        <w:t>If a person is not in high school and does not report a highest grade completed and does not report NONE for highest grade completed we assign a highest grade of 0.</w:t>
      </w:r>
    </w:p>
    <w:p w14:paraId="48B2FE31" w14:textId="77777777" w:rsidR="00FA55A9" w:rsidRPr="00FA55A9" w:rsidRDefault="00FA55A9" w:rsidP="00FA55A9">
      <w:pPr>
        <w:pStyle w:val="HTMLPreformatted"/>
        <w:numPr>
          <w:ilvl w:val="0"/>
          <w:numId w:val="8"/>
        </w:numPr>
        <w:jc w:val="both"/>
        <w:rPr>
          <w:rFonts w:ascii="Times New Roman" w:hAnsi="Times New Roman" w:cs="Times New Roman"/>
          <w:sz w:val="22"/>
          <w:szCs w:val="22"/>
        </w:rPr>
      </w:pPr>
      <w:r w:rsidRPr="00FA55A9">
        <w:rPr>
          <w:rFonts w:ascii="Times New Roman" w:hAnsi="Times New Roman" w:cs="Times New Roman"/>
          <w:sz w:val="22"/>
          <w:szCs w:val="22"/>
        </w:rPr>
        <w:lastRenderedPageBreak/>
        <w:t>Anyone claiming an Associate’s degree we assign 14 years completed.  All those claiming Associate’s degrees have HS degrees.  Anyone claiming a Bachelor’s degree we assign 16 years completed.</w:t>
      </w:r>
    </w:p>
    <w:p w14:paraId="15CE7000" w14:textId="77777777" w:rsidR="00FA55A9" w:rsidRPr="00FA55A9" w:rsidRDefault="00FA55A9" w:rsidP="00FA55A9">
      <w:pPr>
        <w:pStyle w:val="HTMLPreformatted"/>
        <w:numPr>
          <w:ilvl w:val="0"/>
          <w:numId w:val="8"/>
        </w:numPr>
        <w:jc w:val="both"/>
        <w:rPr>
          <w:rFonts w:ascii="Times New Roman" w:hAnsi="Times New Roman" w:cs="Times New Roman"/>
          <w:sz w:val="22"/>
          <w:szCs w:val="22"/>
        </w:rPr>
      </w:pPr>
      <w:r w:rsidRPr="00FA55A9">
        <w:rPr>
          <w:rFonts w:ascii="Times New Roman" w:hAnsi="Times New Roman" w:cs="Times New Roman"/>
          <w:sz w:val="22"/>
          <w:szCs w:val="22"/>
        </w:rPr>
        <w:t xml:space="preserve">Anyone reporting some number of years of college without claiming a Bachelor’s degree we assign that number of years completed up to a maximum of 15. </w:t>
      </w:r>
    </w:p>
    <w:p w14:paraId="2BAB6D71" w14:textId="77777777" w:rsidR="00FA55A9" w:rsidRPr="00FA55A9" w:rsidRDefault="00FA55A9" w:rsidP="00FA55A9">
      <w:pPr>
        <w:pStyle w:val="HTMLPreformatted"/>
        <w:numPr>
          <w:ilvl w:val="0"/>
          <w:numId w:val="8"/>
        </w:numPr>
        <w:jc w:val="both"/>
        <w:rPr>
          <w:rFonts w:ascii="Times New Roman" w:hAnsi="Times New Roman" w:cs="Times New Roman"/>
          <w:sz w:val="22"/>
          <w:szCs w:val="22"/>
        </w:rPr>
      </w:pPr>
      <w:r w:rsidRPr="00FA55A9">
        <w:rPr>
          <w:rFonts w:ascii="Times New Roman" w:hAnsi="Times New Roman" w:cs="Times New Roman"/>
          <w:sz w:val="22"/>
          <w:szCs w:val="22"/>
        </w:rPr>
        <w:t>People reporting VOC_TECH for highest grade completed we assign 13 years.  These VOC_TECH claimants all report a HS degree.  Similarly, all reporting a PSDC (post-secondary degree or certificate) we assign 13 years; they all have HS degrees.  Those reporting MASTER we assign 18 years.</w:t>
      </w:r>
    </w:p>
    <w:p w14:paraId="6A925FCA" w14:textId="77777777" w:rsidR="00FA55A9" w:rsidRPr="00FA55A9" w:rsidRDefault="00FA55A9" w:rsidP="00FA55A9">
      <w:pPr>
        <w:pStyle w:val="HTMLPreformatted"/>
        <w:numPr>
          <w:ilvl w:val="0"/>
          <w:numId w:val="8"/>
        </w:numPr>
        <w:jc w:val="both"/>
        <w:rPr>
          <w:rFonts w:ascii="Times New Roman" w:hAnsi="Times New Roman" w:cs="Times New Roman"/>
          <w:sz w:val="22"/>
          <w:szCs w:val="22"/>
        </w:rPr>
      </w:pPr>
      <w:r w:rsidRPr="00FA55A9">
        <w:rPr>
          <w:rFonts w:ascii="Times New Roman" w:hAnsi="Times New Roman" w:cs="Times New Roman"/>
          <w:sz w:val="22"/>
          <w:szCs w:val="22"/>
        </w:rPr>
        <w:t>Those reporting HS who also report HS diploma or GED certificate, we assign 12 years.  Those reporting HS who do not report HS graduation we assign 11 years.</w:t>
      </w:r>
    </w:p>
    <w:p w14:paraId="027127F4" w14:textId="29679F4E" w:rsidR="00FA55A9" w:rsidRPr="00FA55A9" w:rsidRDefault="00FA55A9" w:rsidP="00AB6AEA">
      <w:pPr>
        <w:pStyle w:val="HTMLPreformatted"/>
        <w:numPr>
          <w:ilvl w:val="0"/>
          <w:numId w:val="8"/>
        </w:numPr>
        <w:jc w:val="both"/>
        <w:rPr>
          <w:rFonts w:ascii="Times New Roman" w:hAnsi="Times New Roman" w:cs="Times New Roman"/>
          <w:sz w:val="22"/>
          <w:szCs w:val="22"/>
        </w:rPr>
      </w:pPr>
      <w:r w:rsidRPr="00FA55A9">
        <w:rPr>
          <w:rFonts w:ascii="Times New Roman" w:hAnsi="Times New Roman" w:cs="Times New Roman"/>
          <w:sz w:val="22"/>
          <w:szCs w:val="22"/>
        </w:rPr>
        <w:t>Those reporting GED who also report HS graduation, we assign 12 years.  Those reporting GED who do not report HS graduation we assign 11 years.</w:t>
      </w:r>
    </w:p>
    <w:p w14:paraId="4A167F60" w14:textId="735121DD" w:rsidR="00FA55A9" w:rsidRDefault="00FA55A9" w:rsidP="00FA55A9">
      <w:pPr>
        <w:pStyle w:val="HTMLPreformatted"/>
        <w:numPr>
          <w:ilvl w:val="0"/>
          <w:numId w:val="8"/>
        </w:numPr>
        <w:jc w:val="both"/>
        <w:rPr>
          <w:rFonts w:ascii="Times New Roman" w:hAnsi="Times New Roman" w:cs="Times New Roman"/>
          <w:sz w:val="22"/>
          <w:szCs w:val="22"/>
        </w:rPr>
      </w:pPr>
      <w:r w:rsidRPr="00FA55A9">
        <w:rPr>
          <w:rFonts w:ascii="Times New Roman" w:hAnsi="Times New Roman" w:cs="Times New Roman"/>
          <w:sz w:val="22"/>
          <w:szCs w:val="22"/>
        </w:rPr>
        <w:t>Anyone who claims less than the 12th grade completed but nonetheless reports a HS degree or a GED certificate, we assign 12 years completed.</w:t>
      </w:r>
    </w:p>
    <w:p w14:paraId="0A8D041D" w14:textId="1F2F1687" w:rsidR="002E79AC" w:rsidRPr="00FA55A9" w:rsidRDefault="002E79AC" w:rsidP="00FA55A9">
      <w:pPr>
        <w:pStyle w:val="HTMLPreformatted"/>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We suppress counts for cells with from one to </w:t>
      </w:r>
      <w:r w:rsidR="00FE78BD">
        <w:rPr>
          <w:rFonts w:ascii="Times New Roman" w:hAnsi="Times New Roman" w:cs="Times New Roman"/>
          <w:sz w:val="22"/>
          <w:szCs w:val="22"/>
        </w:rPr>
        <w:t>nine</w:t>
      </w:r>
      <w:r>
        <w:rPr>
          <w:rFonts w:ascii="Times New Roman" w:hAnsi="Times New Roman" w:cs="Times New Roman"/>
          <w:sz w:val="22"/>
          <w:szCs w:val="22"/>
        </w:rPr>
        <w:t xml:space="preserve"> people</w:t>
      </w:r>
    </w:p>
    <w:p w14:paraId="48A743E0" w14:textId="15AE338E" w:rsidR="00841F47" w:rsidRDefault="00841F47">
      <w:pPr>
        <w:rPr>
          <w:rFonts w:ascii="Times New Roman" w:hAnsi="Times New Roman" w:cs="Times New Roman"/>
        </w:rPr>
      </w:pPr>
    </w:p>
    <w:p w14:paraId="7248F4A9" w14:textId="6D3C982F" w:rsidR="0037019D" w:rsidRDefault="0037019D" w:rsidP="00F95777">
      <w:pPr>
        <w:spacing w:after="0"/>
        <w:jc w:val="center"/>
        <w:rPr>
          <w:rFonts w:ascii="Times New Roman" w:hAnsi="Times New Roman" w:cs="Times New Roman"/>
        </w:rPr>
      </w:pPr>
      <w:r>
        <w:rPr>
          <w:rFonts w:ascii="Times New Roman" w:hAnsi="Times New Roman" w:cs="Times New Roman"/>
        </w:rPr>
        <w:t xml:space="preserve">Table </w:t>
      </w:r>
      <w:r w:rsidR="002E42D0">
        <w:rPr>
          <w:rFonts w:ascii="Times New Roman" w:hAnsi="Times New Roman" w:cs="Times New Roman"/>
        </w:rPr>
        <w:t>3</w:t>
      </w:r>
    </w:p>
    <w:p w14:paraId="73DEF4E6" w14:textId="77777777" w:rsidR="0037019D" w:rsidRDefault="0037019D" w:rsidP="00F95777">
      <w:pPr>
        <w:spacing w:after="0"/>
        <w:jc w:val="center"/>
        <w:rPr>
          <w:rFonts w:ascii="Times New Roman" w:hAnsi="Times New Roman" w:cs="Times New Roman"/>
        </w:rPr>
      </w:pPr>
      <w:r>
        <w:rPr>
          <w:rFonts w:ascii="Times New Roman" w:hAnsi="Times New Roman" w:cs="Times New Roman"/>
        </w:rPr>
        <w:t>Highest Grade Completed by CCMEP Enrollees</w:t>
      </w:r>
    </w:p>
    <w:tbl>
      <w:tblPr>
        <w:tblW w:w="5180" w:type="dxa"/>
        <w:tblLook w:val="04A0" w:firstRow="1" w:lastRow="0" w:firstColumn="1" w:lastColumn="0" w:noHBand="0" w:noVBand="1"/>
      </w:tblPr>
      <w:tblGrid>
        <w:gridCol w:w="1540"/>
        <w:gridCol w:w="3640"/>
      </w:tblGrid>
      <w:tr w:rsidR="00FD1FEE" w:rsidRPr="00FD1FEE" w14:paraId="5EEEA513" w14:textId="77777777" w:rsidTr="00FD1FEE">
        <w:trPr>
          <w:trHeight w:val="300"/>
          <w:tblHeader/>
        </w:trPr>
        <w:tc>
          <w:tcPr>
            <w:tcW w:w="1540" w:type="dxa"/>
            <w:tcBorders>
              <w:top w:val="nil"/>
              <w:left w:val="nil"/>
              <w:bottom w:val="nil"/>
              <w:right w:val="nil"/>
            </w:tcBorders>
            <w:shd w:val="clear" w:color="auto" w:fill="auto"/>
            <w:noWrap/>
            <w:vAlign w:val="bottom"/>
            <w:hideMark/>
          </w:tcPr>
          <w:p w14:paraId="18C28F23"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Count</w:t>
            </w:r>
          </w:p>
        </w:tc>
        <w:tc>
          <w:tcPr>
            <w:tcW w:w="3640" w:type="dxa"/>
            <w:tcBorders>
              <w:top w:val="nil"/>
              <w:left w:val="nil"/>
              <w:bottom w:val="nil"/>
              <w:right w:val="nil"/>
            </w:tcBorders>
            <w:shd w:val="clear" w:color="auto" w:fill="auto"/>
            <w:noWrap/>
            <w:vAlign w:val="bottom"/>
            <w:hideMark/>
          </w:tcPr>
          <w:p w14:paraId="7AF9DF0B"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Cell Description</w:t>
            </w:r>
          </w:p>
        </w:tc>
      </w:tr>
      <w:tr w:rsidR="00FD1FEE" w:rsidRPr="00FD1FEE" w14:paraId="48AA2672" w14:textId="77777777" w:rsidTr="00FD1FEE">
        <w:trPr>
          <w:trHeight w:val="300"/>
          <w:tblHeader/>
        </w:trPr>
        <w:tc>
          <w:tcPr>
            <w:tcW w:w="1540" w:type="dxa"/>
            <w:tcBorders>
              <w:top w:val="nil"/>
              <w:left w:val="nil"/>
              <w:bottom w:val="nil"/>
              <w:right w:val="nil"/>
            </w:tcBorders>
            <w:shd w:val="clear" w:color="auto" w:fill="auto"/>
            <w:noWrap/>
            <w:vAlign w:val="bottom"/>
            <w:hideMark/>
          </w:tcPr>
          <w:p w14:paraId="043FC251"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864</w:t>
            </w:r>
          </w:p>
        </w:tc>
        <w:tc>
          <w:tcPr>
            <w:tcW w:w="3640" w:type="dxa"/>
            <w:tcBorders>
              <w:top w:val="nil"/>
              <w:left w:val="nil"/>
              <w:bottom w:val="nil"/>
              <w:right w:val="nil"/>
            </w:tcBorders>
            <w:shd w:val="clear" w:color="auto" w:fill="auto"/>
            <w:noWrap/>
            <w:vAlign w:val="bottom"/>
            <w:hideMark/>
          </w:tcPr>
          <w:p w14:paraId="1D0E4CEF"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None</w:t>
            </w:r>
          </w:p>
        </w:tc>
      </w:tr>
      <w:tr w:rsidR="00FD1FEE" w:rsidRPr="00FD1FEE" w14:paraId="74A4B5BA" w14:textId="77777777" w:rsidTr="00FD1FEE">
        <w:trPr>
          <w:trHeight w:val="300"/>
          <w:tblHeader/>
        </w:trPr>
        <w:tc>
          <w:tcPr>
            <w:tcW w:w="1540" w:type="dxa"/>
            <w:tcBorders>
              <w:top w:val="nil"/>
              <w:left w:val="nil"/>
              <w:bottom w:val="nil"/>
              <w:right w:val="nil"/>
            </w:tcBorders>
            <w:shd w:val="clear" w:color="auto" w:fill="auto"/>
            <w:noWrap/>
            <w:vAlign w:val="bottom"/>
            <w:hideMark/>
          </w:tcPr>
          <w:p w14:paraId="4291B10A"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suppressed</w:t>
            </w:r>
          </w:p>
        </w:tc>
        <w:tc>
          <w:tcPr>
            <w:tcW w:w="3640" w:type="dxa"/>
            <w:tcBorders>
              <w:top w:val="nil"/>
              <w:left w:val="nil"/>
              <w:bottom w:val="nil"/>
              <w:right w:val="nil"/>
            </w:tcBorders>
            <w:shd w:val="clear" w:color="auto" w:fill="auto"/>
            <w:noWrap/>
            <w:vAlign w:val="bottom"/>
            <w:hideMark/>
          </w:tcPr>
          <w:p w14:paraId="6A41AD5D"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First grade</w:t>
            </w:r>
          </w:p>
        </w:tc>
      </w:tr>
      <w:tr w:rsidR="00FD1FEE" w:rsidRPr="00FD1FEE" w14:paraId="0F582C61" w14:textId="77777777" w:rsidTr="00FD1FEE">
        <w:trPr>
          <w:trHeight w:val="300"/>
          <w:tblHeader/>
        </w:trPr>
        <w:tc>
          <w:tcPr>
            <w:tcW w:w="1540" w:type="dxa"/>
            <w:tcBorders>
              <w:top w:val="nil"/>
              <w:left w:val="nil"/>
              <w:bottom w:val="nil"/>
              <w:right w:val="nil"/>
            </w:tcBorders>
            <w:shd w:val="clear" w:color="auto" w:fill="auto"/>
            <w:noWrap/>
            <w:vAlign w:val="bottom"/>
            <w:hideMark/>
          </w:tcPr>
          <w:p w14:paraId="6DDCA4D1"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suppressed</w:t>
            </w:r>
          </w:p>
        </w:tc>
        <w:tc>
          <w:tcPr>
            <w:tcW w:w="3640" w:type="dxa"/>
            <w:tcBorders>
              <w:top w:val="nil"/>
              <w:left w:val="nil"/>
              <w:bottom w:val="nil"/>
              <w:right w:val="nil"/>
            </w:tcBorders>
            <w:shd w:val="clear" w:color="auto" w:fill="auto"/>
            <w:noWrap/>
            <w:vAlign w:val="bottom"/>
            <w:hideMark/>
          </w:tcPr>
          <w:p w14:paraId="44ABD6B1"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Second grade</w:t>
            </w:r>
          </w:p>
        </w:tc>
      </w:tr>
      <w:tr w:rsidR="00FD1FEE" w:rsidRPr="00FD1FEE" w14:paraId="74C178D3" w14:textId="77777777" w:rsidTr="00FD1FEE">
        <w:trPr>
          <w:trHeight w:val="300"/>
          <w:tblHeader/>
        </w:trPr>
        <w:tc>
          <w:tcPr>
            <w:tcW w:w="1540" w:type="dxa"/>
            <w:tcBorders>
              <w:top w:val="nil"/>
              <w:left w:val="nil"/>
              <w:bottom w:val="nil"/>
              <w:right w:val="nil"/>
            </w:tcBorders>
            <w:shd w:val="clear" w:color="auto" w:fill="auto"/>
            <w:noWrap/>
            <w:vAlign w:val="bottom"/>
            <w:hideMark/>
          </w:tcPr>
          <w:p w14:paraId="44AB442E"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suppressed</w:t>
            </w:r>
          </w:p>
        </w:tc>
        <w:tc>
          <w:tcPr>
            <w:tcW w:w="3640" w:type="dxa"/>
            <w:tcBorders>
              <w:top w:val="nil"/>
              <w:left w:val="nil"/>
              <w:bottom w:val="nil"/>
              <w:right w:val="nil"/>
            </w:tcBorders>
            <w:shd w:val="clear" w:color="auto" w:fill="auto"/>
            <w:noWrap/>
            <w:vAlign w:val="bottom"/>
            <w:hideMark/>
          </w:tcPr>
          <w:p w14:paraId="7963625D"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Third grade</w:t>
            </w:r>
          </w:p>
        </w:tc>
      </w:tr>
      <w:tr w:rsidR="00FD1FEE" w:rsidRPr="00FD1FEE" w14:paraId="52958AC2" w14:textId="77777777" w:rsidTr="00FD1FEE">
        <w:trPr>
          <w:trHeight w:val="300"/>
          <w:tblHeader/>
        </w:trPr>
        <w:tc>
          <w:tcPr>
            <w:tcW w:w="1540" w:type="dxa"/>
            <w:tcBorders>
              <w:top w:val="nil"/>
              <w:left w:val="nil"/>
              <w:bottom w:val="nil"/>
              <w:right w:val="nil"/>
            </w:tcBorders>
            <w:shd w:val="clear" w:color="auto" w:fill="auto"/>
            <w:noWrap/>
            <w:vAlign w:val="bottom"/>
            <w:hideMark/>
          </w:tcPr>
          <w:p w14:paraId="3D453E59"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suppressed</w:t>
            </w:r>
          </w:p>
        </w:tc>
        <w:tc>
          <w:tcPr>
            <w:tcW w:w="3640" w:type="dxa"/>
            <w:tcBorders>
              <w:top w:val="nil"/>
              <w:left w:val="nil"/>
              <w:bottom w:val="nil"/>
              <w:right w:val="nil"/>
            </w:tcBorders>
            <w:shd w:val="clear" w:color="auto" w:fill="auto"/>
            <w:noWrap/>
            <w:vAlign w:val="bottom"/>
            <w:hideMark/>
          </w:tcPr>
          <w:p w14:paraId="2475B460"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Fourth grade</w:t>
            </w:r>
          </w:p>
        </w:tc>
      </w:tr>
      <w:tr w:rsidR="00FD1FEE" w:rsidRPr="00FD1FEE" w14:paraId="1D258BC4" w14:textId="77777777" w:rsidTr="00FD1FEE">
        <w:trPr>
          <w:trHeight w:val="300"/>
          <w:tblHeader/>
        </w:trPr>
        <w:tc>
          <w:tcPr>
            <w:tcW w:w="1540" w:type="dxa"/>
            <w:tcBorders>
              <w:top w:val="nil"/>
              <w:left w:val="nil"/>
              <w:bottom w:val="nil"/>
              <w:right w:val="nil"/>
            </w:tcBorders>
            <w:shd w:val="clear" w:color="auto" w:fill="auto"/>
            <w:noWrap/>
            <w:vAlign w:val="bottom"/>
            <w:hideMark/>
          </w:tcPr>
          <w:p w14:paraId="4DF9240B"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suppressed</w:t>
            </w:r>
          </w:p>
        </w:tc>
        <w:tc>
          <w:tcPr>
            <w:tcW w:w="3640" w:type="dxa"/>
            <w:tcBorders>
              <w:top w:val="nil"/>
              <w:left w:val="nil"/>
              <w:bottom w:val="nil"/>
              <w:right w:val="nil"/>
            </w:tcBorders>
            <w:shd w:val="clear" w:color="auto" w:fill="auto"/>
            <w:noWrap/>
            <w:vAlign w:val="bottom"/>
            <w:hideMark/>
          </w:tcPr>
          <w:p w14:paraId="69E8A597"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Fifth grade</w:t>
            </w:r>
          </w:p>
        </w:tc>
      </w:tr>
      <w:tr w:rsidR="00FD1FEE" w:rsidRPr="00FD1FEE" w14:paraId="43577CDC" w14:textId="77777777" w:rsidTr="00FD1FEE">
        <w:trPr>
          <w:trHeight w:val="300"/>
          <w:tblHeader/>
        </w:trPr>
        <w:tc>
          <w:tcPr>
            <w:tcW w:w="1540" w:type="dxa"/>
            <w:tcBorders>
              <w:top w:val="nil"/>
              <w:left w:val="nil"/>
              <w:bottom w:val="nil"/>
              <w:right w:val="nil"/>
            </w:tcBorders>
            <w:shd w:val="clear" w:color="auto" w:fill="auto"/>
            <w:noWrap/>
            <w:vAlign w:val="bottom"/>
            <w:hideMark/>
          </w:tcPr>
          <w:p w14:paraId="446FA5FC"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11</w:t>
            </w:r>
          </w:p>
        </w:tc>
        <w:tc>
          <w:tcPr>
            <w:tcW w:w="3640" w:type="dxa"/>
            <w:tcBorders>
              <w:top w:val="nil"/>
              <w:left w:val="nil"/>
              <w:bottom w:val="nil"/>
              <w:right w:val="nil"/>
            </w:tcBorders>
            <w:shd w:val="clear" w:color="auto" w:fill="auto"/>
            <w:noWrap/>
            <w:vAlign w:val="bottom"/>
            <w:hideMark/>
          </w:tcPr>
          <w:p w14:paraId="0A3F8ED7"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Sixth grade</w:t>
            </w:r>
          </w:p>
        </w:tc>
      </w:tr>
      <w:tr w:rsidR="00FD1FEE" w:rsidRPr="00FD1FEE" w14:paraId="7E266EBC" w14:textId="77777777" w:rsidTr="00FD1FEE">
        <w:trPr>
          <w:trHeight w:val="300"/>
          <w:tblHeader/>
        </w:trPr>
        <w:tc>
          <w:tcPr>
            <w:tcW w:w="1540" w:type="dxa"/>
            <w:tcBorders>
              <w:top w:val="nil"/>
              <w:left w:val="nil"/>
              <w:bottom w:val="nil"/>
              <w:right w:val="nil"/>
            </w:tcBorders>
            <w:shd w:val="clear" w:color="auto" w:fill="auto"/>
            <w:noWrap/>
            <w:vAlign w:val="bottom"/>
            <w:hideMark/>
          </w:tcPr>
          <w:p w14:paraId="0E5DEAF4"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85</w:t>
            </w:r>
          </w:p>
        </w:tc>
        <w:tc>
          <w:tcPr>
            <w:tcW w:w="3640" w:type="dxa"/>
            <w:tcBorders>
              <w:top w:val="nil"/>
              <w:left w:val="nil"/>
              <w:bottom w:val="nil"/>
              <w:right w:val="nil"/>
            </w:tcBorders>
            <w:shd w:val="clear" w:color="auto" w:fill="auto"/>
            <w:noWrap/>
            <w:vAlign w:val="bottom"/>
            <w:hideMark/>
          </w:tcPr>
          <w:p w14:paraId="440B3CC0"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Seventh  grade</w:t>
            </w:r>
          </w:p>
        </w:tc>
      </w:tr>
      <w:tr w:rsidR="00FD1FEE" w:rsidRPr="00FD1FEE" w14:paraId="1CF57611" w14:textId="77777777" w:rsidTr="00FD1FEE">
        <w:trPr>
          <w:trHeight w:val="300"/>
          <w:tblHeader/>
        </w:trPr>
        <w:tc>
          <w:tcPr>
            <w:tcW w:w="1540" w:type="dxa"/>
            <w:tcBorders>
              <w:top w:val="nil"/>
              <w:left w:val="nil"/>
              <w:bottom w:val="nil"/>
              <w:right w:val="nil"/>
            </w:tcBorders>
            <w:shd w:val="clear" w:color="auto" w:fill="auto"/>
            <w:noWrap/>
            <w:vAlign w:val="bottom"/>
            <w:hideMark/>
          </w:tcPr>
          <w:p w14:paraId="23730C19"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230</w:t>
            </w:r>
          </w:p>
        </w:tc>
        <w:tc>
          <w:tcPr>
            <w:tcW w:w="3640" w:type="dxa"/>
            <w:tcBorders>
              <w:top w:val="nil"/>
              <w:left w:val="nil"/>
              <w:bottom w:val="nil"/>
              <w:right w:val="nil"/>
            </w:tcBorders>
            <w:shd w:val="clear" w:color="auto" w:fill="auto"/>
            <w:noWrap/>
            <w:vAlign w:val="bottom"/>
            <w:hideMark/>
          </w:tcPr>
          <w:p w14:paraId="0FA3E0D8"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Eighth grade</w:t>
            </w:r>
          </w:p>
        </w:tc>
      </w:tr>
      <w:tr w:rsidR="00FD1FEE" w:rsidRPr="00FD1FEE" w14:paraId="1FD8C07B" w14:textId="77777777" w:rsidTr="00FD1FEE">
        <w:trPr>
          <w:trHeight w:val="300"/>
          <w:tblHeader/>
        </w:trPr>
        <w:tc>
          <w:tcPr>
            <w:tcW w:w="1540" w:type="dxa"/>
            <w:tcBorders>
              <w:top w:val="nil"/>
              <w:left w:val="nil"/>
              <w:bottom w:val="nil"/>
              <w:right w:val="nil"/>
            </w:tcBorders>
            <w:shd w:val="clear" w:color="auto" w:fill="auto"/>
            <w:noWrap/>
            <w:vAlign w:val="bottom"/>
            <w:hideMark/>
          </w:tcPr>
          <w:p w14:paraId="0FBF3B7A"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11209</w:t>
            </w:r>
          </w:p>
        </w:tc>
        <w:tc>
          <w:tcPr>
            <w:tcW w:w="3640" w:type="dxa"/>
            <w:tcBorders>
              <w:top w:val="nil"/>
              <w:left w:val="nil"/>
              <w:bottom w:val="nil"/>
              <w:right w:val="nil"/>
            </w:tcBorders>
            <w:shd w:val="clear" w:color="auto" w:fill="auto"/>
            <w:noWrap/>
            <w:vAlign w:val="bottom"/>
            <w:hideMark/>
          </w:tcPr>
          <w:p w14:paraId="36596DDE"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Ninth grade</w:t>
            </w:r>
          </w:p>
        </w:tc>
      </w:tr>
      <w:tr w:rsidR="00FD1FEE" w:rsidRPr="00FD1FEE" w14:paraId="688F115F" w14:textId="77777777" w:rsidTr="00FD1FEE">
        <w:trPr>
          <w:trHeight w:val="300"/>
          <w:tblHeader/>
        </w:trPr>
        <w:tc>
          <w:tcPr>
            <w:tcW w:w="1540" w:type="dxa"/>
            <w:tcBorders>
              <w:top w:val="nil"/>
              <w:left w:val="nil"/>
              <w:bottom w:val="nil"/>
              <w:right w:val="nil"/>
            </w:tcBorders>
            <w:shd w:val="clear" w:color="auto" w:fill="auto"/>
            <w:noWrap/>
            <w:vAlign w:val="bottom"/>
            <w:hideMark/>
          </w:tcPr>
          <w:p w14:paraId="595CF890"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1110</w:t>
            </w:r>
          </w:p>
        </w:tc>
        <w:tc>
          <w:tcPr>
            <w:tcW w:w="3640" w:type="dxa"/>
            <w:tcBorders>
              <w:top w:val="nil"/>
              <w:left w:val="nil"/>
              <w:bottom w:val="nil"/>
              <w:right w:val="nil"/>
            </w:tcBorders>
            <w:shd w:val="clear" w:color="auto" w:fill="auto"/>
            <w:noWrap/>
            <w:vAlign w:val="bottom"/>
            <w:hideMark/>
          </w:tcPr>
          <w:p w14:paraId="5EB889E5"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Tenth grade</w:t>
            </w:r>
          </w:p>
        </w:tc>
      </w:tr>
      <w:tr w:rsidR="00FD1FEE" w:rsidRPr="00FD1FEE" w14:paraId="7EBD95FC" w14:textId="77777777" w:rsidTr="00FD1FEE">
        <w:trPr>
          <w:trHeight w:val="300"/>
          <w:tblHeader/>
        </w:trPr>
        <w:tc>
          <w:tcPr>
            <w:tcW w:w="1540" w:type="dxa"/>
            <w:tcBorders>
              <w:top w:val="nil"/>
              <w:left w:val="nil"/>
              <w:bottom w:val="nil"/>
              <w:right w:val="nil"/>
            </w:tcBorders>
            <w:shd w:val="clear" w:color="auto" w:fill="auto"/>
            <w:noWrap/>
            <w:vAlign w:val="bottom"/>
            <w:hideMark/>
          </w:tcPr>
          <w:p w14:paraId="539A5B07"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2710</w:t>
            </w:r>
          </w:p>
        </w:tc>
        <w:tc>
          <w:tcPr>
            <w:tcW w:w="3640" w:type="dxa"/>
            <w:tcBorders>
              <w:top w:val="nil"/>
              <w:left w:val="nil"/>
              <w:bottom w:val="nil"/>
              <w:right w:val="nil"/>
            </w:tcBorders>
            <w:shd w:val="clear" w:color="auto" w:fill="auto"/>
            <w:noWrap/>
            <w:vAlign w:val="bottom"/>
            <w:hideMark/>
          </w:tcPr>
          <w:p w14:paraId="63A2FC80"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Eleventh grade</w:t>
            </w:r>
          </w:p>
        </w:tc>
      </w:tr>
      <w:tr w:rsidR="00FD1FEE" w:rsidRPr="00FD1FEE" w14:paraId="0C08FDC4" w14:textId="77777777" w:rsidTr="00FD1FEE">
        <w:trPr>
          <w:trHeight w:val="300"/>
          <w:tblHeader/>
        </w:trPr>
        <w:tc>
          <w:tcPr>
            <w:tcW w:w="1540" w:type="dxa"/>
            <w:tcBorders>
              <w:top w:val="nil"/>
              <w:left w:val="nil"/>
              <w:bottom w:val="nil"/>
              <w:right w:val="nil"/>
            </w:tcBorders>
            <w:shd w:val="clear" w:color="auto" w:fill="auto"/>
            <w:noWrap/>
            <w:vAlign w:val="bottom"/>
            <w:hideMark/>
          </w:tcPr>
          <w:p w14:paraId="4A2FDC6F"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8114</w:t>
            </w:r>
          </w:p>
        </w:tc>
        <w:tc>
          <w:tcPr>
            <w:tcW w:w="3640" w:type="dxa"/>
            <w:tcBorders>
              <w:top w:val="nil"/>
              <w:left w:val="nil"/>
              <w:bottom w:val="nil"/>
              <w:right w:val="nil"/>
            </w:tcBorders>
            <w:shd w:val="clear" w:color="auto" w:fill="auto"/>
            <w:noWrap/>
            <w:vAlign w:val="bottom"/>
            <w:hideMark/>
          </w:tcPr>
          <w:p w14:paraId="292859C7"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Twelfth grade</w:t>
            </w:r>
          </w:p>
        </w:tc>
      </w:tr>
      <w:tr w:rsidR="00FD1FEE" w:rsidRPr="00FD1FEE" w14:paraId="0DD8B825" w14:textId="77777777" w:rsidTr="00FD1FEE">
        <w:trPr>
          <w:trHeight w:val="300"/>
          <w:tblHeader/>
        </w:trPr>
        <w:tc>
          <w:tcPr>
            <w:tcW w:w="1540" w:type="dxa"/>
            <w:tcBorders>
              <w:top w:val="nil"/>
              <w:left w:val="nil"/>
              <w:bottom w:val="nil"/>
              <w:right w:val="nil"/>
            </w:tcBorders>
            <w:shd w:val="clear" w:color="auto" w:fill="auto"/>
            <w:noWrap/>
            <w:vAlign w:val="bottom"/>
            <w:hideMark/>
          </w:tcPr>
          <w:p w14:paraId="4FFBECD8"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525</w:t>
            </w:r>
          </w:p>
        </w:tc>
        <w:tc>
          <w:tcPr>
            <w:tcW w:w="3640" w:type="dxa"/>
            <w:tcBorders>
              <w:top w:val="nil"/>
              <w:left w:val="nil"/>
              <w:bottom w:val="nil"/>
              <w:right w:val="nil"/>
            </w:tcBorders>
            <w:shd w:val="clear" w:color="auto" w:fill="auto"/>
            <w:noWrap/>
            <w:vAlign w:val="bottom"/>
            <w:hideMark/>
          </w:tcPr>
          <w:p w14:paraId="0EB9ED7E"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13th</w:t>
            </w:r>
          </w:p>
        </w:tc>
      </w:tr>
      <w:tr w:rsidR="00FD1FEE" w:rsidRPr="00FD1FEE" w14:paraId="35A3FD9E" w14:textId="77777777" w:rsidTr="00FD1FEE">
        <w:trPr>
          <w:trHeight w:val="300"/>
          <w:tblHeader/>
        </w:trPr>
        <w:tc>
          <w:tcPr>
            <w:tcW w:w="1540" w:type="dxa"/>
            <w:tcBorders>
              <w:top w:val="nil"/>
              <w:left w:val="nil"/>
              <w:bottom w:val="nil"/>
              <w:right w:val="nil"/>
            </w:tcBorders>
            <w:shd w:val="clear" w:color="auto" w:fill="auto"/>
            <w:noWrap/>
            <w:vAlign w:val="bottom"/>
            <w:hideMark/>
          </w:tcPr>
          <w:p w14:paraId="4E1D0DDA"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209</w:t>
            </w:r>
          </w:p>
        </w:tc>
        <w:tc>
          <w:tcPr>
            <w:tcW w:w="3640" w:type="dxa"/>
            <w:tcBorders>
              <w:top w:val="nil"/>
              <w:left w:val="nil"/>
              <w:bottom w:val="nil"/>
              <w:right w:val="nil"/>
            </w:tcBorders>
            <w:shd w:val="clear" w:color="auto" w:fill="auto"/>
            <w:noWrap/>
            <w:vAlign w:val="bottom"/>
            <w:hideMark/>
          </w:tcPr>
          <w:p w14:paraId="4BA936B1"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14th</w:t>
            </w:r>
          </w:p>
        </w:tc>
      </w:tr>
      <w:tr w:rsidR="00FD1FEE" w:rsidRPr="00FD1FEE" w14:paraId="11832109" w14:textId="77777777" w:rsidTr="00FD1FEE">
        <w:trPr>
          <w:trHeight w:val="300"/>
          <w:tblHeader/>
        </w:trPr>
        <w:tc>
          <w:tcPr>
            <w:tcW w:w="1540" w:type="dxa"/>
            <w:tcBorders>
              <w:top w:val="nil"/>
              <w:left w:val="nil"/>
              <w:bottom w:val="nil"/>
              <w:right w:val="nil"/>
            </w:tcBorders>
            <w:shd w:val="clear" w:color="auto" w:fill="auto"/>
            <w:noWrap/>
            <w:vAlign w:val="bottom"/>
            <w:hideMark/>
          </w:tcPr>
          <w:p w14:paraId="6F455DA7"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65</w:t>
            </w:r>
          </w:p>
        </w:tc>
        <w:tc>
          <w:tcPr>
            <w:tcW w:w="3640" w:type="dxa"/>
            <w:tcBorders>
              <w:top w:val="nil"/>
              <w:left w:val="nil"/>
              <w:bottom w:val="nil"/>
              <w:right w:val="nil"/>
            </w:tcBorders>
            <w:shd w:val="clear" w:color="auto" w:fill="auto"/>
            <w:noWrap/>
            <w:vAlign w:val="bottom"/>
            <w:hideMark/>
          </w:tcPr>
          <w:p w14:paraId="5326C5E7"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15th</w:t>
            </w:r>
          </w:p>
        </w:tc>
      </w:tr>
      <w:tr w:rsidR="00FD1FEE" w:rsidRPr="00FD1FEE" w14:paraId="090F792A" w14:textId="77777777" w:rsidTr="00FD1FEE">
        <w:trPr>
          <w:trHeight w:val="300"/>
          <w:tblHeader/>
        </w:trPr>
        <w:tc>
          <w:tcPr>
            <w:tcW w:w="1540" w:type="dxa"/>
            <w:tcBorders>
              <w:top w:val="nil"/>
              <w:left w:val="nil"/>
              <w:bottom w:val="nil"/>
              <w:right w:val="nil"/>
            </w:tcBorders>
            <w:shd w:val="clear" w:color="auto" w:fill="auto"/>
            <w:noWrap/>
            <w:vAlign w:val="bottom"/>
            <w:hideMark/>
          </w:tcPr>
          <w:p w14:paraId="6E97223F"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28</w:t>
            </w:r>
          </w:p>
        </w:tc>
        <w:tc>
          <w:tcPr>
            <w:tcW w:w="3640" w:type="dxa"/>
            <w:tcBorders>
              <w:top w:val="nil"/>
              <w:left w:val="nil"/>
              <w:bottom w:val="nil"/>
              <w:right w:val="nil"/>
            </w:tcBorders>
            <w:shd w:val="clear" w:color="auto" w:fill="auto"/>
            <w:noWrap/>
            <w:vAlign w:val="bottom"/>
            <w:hideMark/>
          </w:tcPr>
          <w:p w14:paraId="3709ABC5"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Bachelor's degree</w:t>
            </w:r>
          </w:p>
        </w:tc>
      </w:tr>
      <w:tr w:rsidR="00FD1FEE" w:rsidRPr="00FD1FEE" w14:paraId="47160570" w14:textId="77777777" w:rsidTr="00FD1FEE">
        <w:trPr>
          <w:trHeight w:val="300"/>
          <w:tblHeader/>
        </w:trPr>
        <w:tc>
          <w:tcPr>
            <w:tcW w:w="1540" w:type="dxa"/>
            <w:tcBorders>
              <w:top w:val="nil"/>
              <w:left w:val="nil"/>
              <w:bottom w:val="nil"/>
              <w:right w:val="nil"/>
            </w:tcBorders>
            <w:shd w:val="clear" w:color="auto" w:fill="auto"/>
            <w:noWrap/>
            <w:vAlign w:val="bottom"/>
            <w:hideMark/>
          </w:tcPr>
          <w:p w14:paraId="31A7F682"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suppressed</w:t>
            </w:r>
          </w:p>
        </w:tc>
        <w:tc>
          <w:tcPr>
            <w:tcW w:w="3640" w:type="dxa"/>
            <w:tcBorders>
              <w:top w:val="nil"/>
              <w:left w:val="nil"/>
              <w:bottom w:val="nil"/>
              <w:right w:val="nil"/>
            </w:tcBorders>
            <w:shd w:val="clear" w:color="auto" w:fill="auto"/>
            <w:noWrap/>
            <w:vAlign w:val="bottom"/>
            <w:hideMark/>
          </w:tcPr>
          <w:p w14:paraId="13A8A030"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Master's degree</w:t>
            </w:r>
          </w:p>
        </w:tc>
      </w:tr>
      <w:tr w:rsidR="00FD1FEE" w:rsidRPr="00FD1FEE" w14:paraId="09665598" w14:textId="77777777" w:rsidTr="00FD1FEE">
        <w:trPr>
          <w:trHeight w:val="300"/>
          <w:tblHeader/>
        </w:trPr>
        <w:tc>
          <w:tcPr>
            <w:tcW w:w="1540" w:type="dxa"/>
            <w:tcBorders>
              <w:top w:val="nil"/>
              <w:left w:val="nil"/>
              <w:bottom w:val="nil"/>
              <w:right w:val="nil"/>
            </w:tcBorders>
            <w:shd w:val="clear" w:color="auto" w:fill="auto"/>
            <w:noWrap/>
            <w:vAlign w:val="bottom"/>
            <w:hideMark/>
          </w:tcPr>
          <w:p w14:paraId="32DB75C7"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suppressed</w:t>
            </w:r>
          </w:p>
        </w:tc>
        <w:tc>
          <w:tcPr>
            <w:tcW w:w="3640" w:type="dxa"/>
            <w:tcBorders>
              <w:top w:val="nil"/>
              <w:left w:val="nil"/>
              <w:bottom w:val="nil"/>
              <w:right w:val="nil"/>
            </w:tcBorders>
            <w:shd w:val="clear" w:color="auto" w:fill="auto"/>
            <w:noWrap/>
            <w:vAlign w:val="bottom"/>
            <w:hideMark/>
          </w:tcPr>
          <w:p w14:paraId="28420FD6"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19 years</w:t>
            </w:r>
          </w:p>
        </w:tc>
      </w:tr>
      <w:tr w:rsidR="00FD1FEE" w:rsidRPr="00FD1FEE" w14:paraId="641AE42D" w14:textId="77777777" w:rsidTr="00FD1FEE">
        <w:trPr>
          <w:trHeight w:val="300"/>
          <w:tblHeader/>
        </w:trPr>
        <w:tc>
          <w:tcPr>
            <w:tcW w:w="1540" w:type="dxa"/>
            <w:tcBorders>
              <w:top w:val="nil"/>
              <w:left w:val="nil"/>
              <w:bottom w:val="nil"/>
              <w:right w:val="nil"/>
            </w:tcBorders>
            <w:shd w:val="clear" w:color="auto" w:fill="auto"/>
            <w:noWrap/>
            <w:vAlign w:val="bottom"/>
            <w:hideMark/>
          </w:tcPr>
          <w:p w14:paraId="35EE5B52" w14:textId="77777777" w:rsidR="00FD1FEE" w:rsidRPr="00FD1FEE" w:rsidRDefault="00FD1FEE" w:rsidP="00FD1FEE">
            <w:pPr>
              <w:spacing w:after="0" w:line="240" w:lineRule="auto"/>
              <w:jc w:val="right"/>
              <w:rPr>
                <w:rFonts w:ascii="Times New Roman" w:eastAsia="Times New Roman" w:hAnsi="Times New Roman" w:cs="Times New Roman"/>
                <w:color w:val="000000"/>
              </w:rPr>
            </w:pPr>
            <w:r w:rsidRPr="00FD1FEE">
              <w:rPr>
                <w:rFonts w:ascii="Times New Roman" w:eastAsia="Times New Roman" w:hAnsi="Times New Roman" w:cs="Times New Roman"/>
                <w:color w:val="000000"/>
              </w:rPr>
              <w:t>25178</w:t>
            </w:r>
          </w:p>
        </w:tc>
        <w:tc>
          <w:tcPr>
            <w:tcW w:w="3640" w:type="dxa"/>
            <w:tcBorders>
              <w:top w:val="nil"/>
              <w:left w:val="nil"/>
              <w:bottom w:val="nil"/>
              <w:right w:val="nil"/>
            </w:tcBorders>
            <w:shd w:val="clear" w:color="auto" w:fill="auto"/>
            <w:noWrap/>
            <w:vAlign w:val="bottom"/>
            <w:hideMark/>
          </w:tcPr>
          <w:p w14:paraId="14322DFC" w14:textId="77777777" w:rsidR="00FD1FEE" w:rsidRPr="00FD1FEE" w:rsidRDefault="00FD1FEE" w:rsidP="00FD1FEE">
            <w:pPr>
              <w:spacing w:after="0" w:line="240" w:lineRule="auto"/>
              <w:rPr>
                <w:rFonts w:ascii="Times New Roman" w:eastAsia="Times New Roman" w:hAnsi="Times New Roman" w:cs="Times New Roman"/>
                <w:color w:val="000000"/>
              </w:rPr>
            </w:pPr>
            <w:r w:rsidRPr="00FD1FEE">
              <w:rPr>
                <w:rFonts w:ascii="Times New Roman" w:eastAsia="Times New Roman" w:hAnsi="Times New Roman" w:cs="Times New Roman"/>
                <w:color w:val="000000"/>
              </w:rPr>
              <w:t>Total</w:t>
            </w:r>
          </w:p>
        </w:tc>
      </w:tr>
    </w:tbl>
    <w:p w14:paraId="0336F80A" w14:textId="724475B3" w:rsidR="00FD1FEE" w:rsidRDefault="00FD1FEE" w:rsidP="00F95777">
      <w:pPr>
        <w:pStyle w:val="HTMLPreformatted"/>
        <w:jc w:val="both"/>
      </w:pPr>
    </w:p>
    <w:p w14:paraId="46106BFB" w14:textId="77777777" w:rsidR="00FD1FEE" w:rsidRDefault="00FD1FEE">
      <w:pPr>
        <w:rPr>
          <w:rFonts w:ascii="Times New Roman" w:hAnsi="Times New Roman" w:cs="Times New Roman"/>
        </w:rPr>
      </w:pPr>
      <w:r>
        <w:rPr>
          <w:rFonts w:ascii="Times New Roman" w:hAnsi="Times New Roman" w:cs="Times New Roman"/>
        </w:rPr>
        <w:br w:type="page"/>
      </w:r>
    </w:p>
    <w:p w14:paraId="4F35B68C" w14:textId="4DC2D273" w:rsidR="00E82BBF" w:rsidRDefault="00E82BBF" w:rsidP="00E82BBF">
      <w:pPr>
        <w:spacing w:after="0"/>
        <w:jc w:val="center"/>
        <w:rPr>
          <w:rFonts w:ascii="Times New Roman" w:hAnsi="Times New Roman" w:cs="Times New Roman"/>
        </w:rPr>
      </w:pPr>
      <w:r>
        <w:rPr>
          <w:rFonts w:ascii="Times New Roman" w:hAnsi="Times New Roman" w:cs="Times New Roman"/>
        </w:rPr>
        <w:lastRenderedPageBreak/>
        <w:t xml:space="preserve">Figure </w:t>
      </w:r>
      <w:r w:rsidR="002B1D0F">
        <w:rPr>
          <w:rFonts w:ascii="Times New Roman" w:hAnsi="Times New Roman" w:cs="Times New Roman"/>
        </w:rPr>
        <w:t>2</w:t>
      </w:r>
    </w:p>
    <w:p w14:paraId="5AA90B80" w14:textId="77777777" w:rsidR="00E82BBF" w:rsidRDefault="00E82BBF" w:rsidP="00E82BBF">
      <w:pPr>
        <w:spacing w:after="0"/>
        <w:jc w:val="center"/>
        <w:rPr>
          <w:rFonts w:ascii="Times New Roman" w:hAnsi="Times New Roman" w:cs="Times New Roman"/>
        </w:rPr>
      </w:pPr>
      <w:r>
        <w:rPr>
          <w:rFonts w:ascii="Times New Roman" w:hAnsi="Times New Roman" w:cs="Times New Roman"/>
        </w:rPr>
        <w:t>Labor Markets in Ohio – ODJFS Definition</w:t>
      </w:r>
    </w:p>
    <w:p w14:paraId="222B03E5" w14:textId="77777777" w:rsidR="00E82BBF" w:rsidRDefault="00E82BBF" w:rsidP="00E82BBF">
      <w:pPr>
        <w:jc w:val="both"/>
        <w:rPr>
          <w:rFonts w:ascii="Times New Roman" w:hAnsi="Times New Roman" w:cs="Times New Roman"/>
        </w:rPr>
      </w:pPr>
      <w:r>
        <w:rPr>
          <w:noProof/>
        </w:rPr>
        <w:drawing>
          <wp:inline distT="0" distB="0" distL="0" distR="0" wp14:anchorId="4C1BED90" wp14:editId="3D297EF3">
            <wp:extent cx="5943600" cy="6647815"/>
            <wp:effectExtent l="0" t="0" r="0" b="635"/>
            <wp:docPr id="1" name="Picture 1" descr="This shows a map of Ohio with counties color-coded to indicate which counties are in which ODJFS defined labor market.  There are four across the northern part of the state, two in Appalachia in the southeast and south roughly following the Ohio river, one in central Ohio, one in western Ohio and finally one in wouthwest Ohio near Cincinnati"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647815"/>
                    </a:xfrm>
                    <a:prstGeom prst="rect">
                      <a:avLst/>
                    </a:prstGeom>
                  </pic:spPr>
                </pic:pic>
              </a:graphicData>
            </a:graphic>
          </wp:inline>
        </w:drawing>
      </w:r>
    </w:p>
    <w:p w14:paraId="77270253" w14:textId="77777777" w:rsidR="002A1306" w:rsidRPr="002A1306" w:rsidRDefault="003543C2" w:rsidP="00F95777">
      <w:pPr>
        <w:pStyle w:val="Heading4"/>
        <w:jc w:val="both"/>
        <w:rPr>
          <w:rFonts w:ascii="Times New Roman" w:hAnsi="Times New Roman" w:cs="Times New Roman"/>
        </w:rPr>
      </w:pPr>
      <w:r w:rsidRPr="002A1306">
        <w:rPr>
          <w:rFonts w:ascii="Times New Roman" w:hAnsi="Times New Roman" w:cs="Times New Roman"/>
        </w:rPr>
        <w:t>Age and Time Periods</w:t>
      </w:r>
      <w:r w:rsidR="00776E6F">
        <w:rPr>
          <w:rFonts w:ascii="Times New Roman" w:hAnsi="Times New Roman" w:cs="Times New Roman"/>
        </w:rPr>
        <w:t xml:space="preserve"> for Administrative Data </w:t>
      </w:r>
    </w:p>
    <w:p w14:paraId="5D3713BC" w14:textId="77777777" w:rsidR="00B40C65" w:rsidRDefault="003543C2" w:rsidP="00F95777">
      <w:pPr>
        <w:jc w:val="both"/>
        <w:rPr>
          <w:rFonts w:ascii="Times New Roman" w:hAnsi="Times New Roman" w:cs="Times New Roman"/>
        </w:rPr>
      </w:pPr>
      <w:r>
        <w:rPr>
          <w:rFonts w:ascii="Times New Roman" w:hAnsi="Times New Roman" w:cs="Times New Roman"/>
        </w:rPr>
        <w:t xml:space="preserve"> </w:t>
      </w:r>
      <w:r w:rsidR="00314156">
        <w:rPr>
          <w:rFonts w:ascii="Times New Roman" w:hAnsi="Times New Roman" w:cs="Times New Roman"/>
        </w:rPr>
        <w:t xml:space="preserve">Our experimental counties can only assign </w:t>
      </w:r>
      <w:r>
        <w:rPr>
          <w:rFonts w:ascii="Times New Roman" w:hAnsi="Times New Roman" w:cs="Times New Roman"/>
        </w:rPr>
        <w:t>youths 18-24</w:t>
      </w:r>
      <w:r w:rsidR="00314156">
        <w:rPr>
          <w:rFonts w:ascii="Times New Roman" w:hAnsi="Times New Roman" w:cs="Times New Roman"/>
        </w:rPr>
        <w:t xml:space="preserve"> to Wage Pathways</w:t>
      </w:r>
      <w:r>
        <w:rPr>
          <w:rFonts w:ascii="Times New Roman" w:hAnsi="Times New Roman" w:cs="Times New Roman"/>
        </w:rPr>
        <w:t>.</w:t>
      </w:r>
      <w:r>
        <w:rPr>
          <w:rStyle w:val="FootnoteReference"/>
          <w:rFonts w:ascii="Times New Roman" w:hAnsi="Times New Roman" w:cs="Times New Roman"/>
        </w:rPr>
        <w:footnoteReference w:id="19"/>
      </w:r>
      <w:r>
        <w:rPr>
          <w:rFonts w:ascii="Times New Roman" w:hAnsi="Times New Roman" w:cs="Times New Roman"/>
        </w:rPr>
        <w:t xml:space="preserve">  So, to construct a comparison group we must select persons, in the time period under consideration, who are in, or close to, this 18 – </w:t>
      </w:r>
      <w:r>
        <w:rPr>
          <w:rFonts w:ascii="Times New Roman" w:hAnsi="Times New Roman" w:cs="Times New Roman"/>
        </w:rPr>
        <w:lastRenderedPageBreak/>
        <w:t xml:space="preserve">24 age range.  Ashtabula, Cuyahoga, Ottawa and Summit </w:t>
      </w:r>
      <w:r w:rsidR="00F453BD">
        <w:rPr>
          <w:rFonts w:ascii="Times New Roman" w:hAnsi="Times New Roman" w:cs="Times New Roman"/>
        </w:rPr>
        <w:t>C</w:t>
      </w:r>
      <w:r>
        <w:rPr>
          <w:rFonts w:ascii="Times New Roman" w:hAnsi="Times New Roman" w:cs="Times New Roman"/>
        </w:rPr>
        <w:t xml:space="preserve">ounties started Wage Pathways in May, October, May and October </w:t>
      </w:r>
      <w:r w:rsidR="00776E6F">
        <w:rPr>
          <w:rFonts w:ascii="Times New Roman" w:hAnsi="Times New Roman" w:cs="Times New Roman"/>
        </w:rPr>
        <w:t>(all in</w:t>
      </w:r>
      <w:r>
        <w:rPr>
          <w:rFonts w:ascii="Times New Roman" w:hAnsi="Times New Roman" w:cs="Times New Roman"/>
        </w:rPr>
        <w:t xml:space="preserve"> 2017</w:t>
      </w:r>
      <w:r w:rsidR="00C515BD">
        <w:rPr>
          <w:rFonts w:ascii="Times New Roman" w:hAnsi="Times New Roman" w:cs="Times New Roman"/>
        </w:rPr>
        <w:t>)</w:t>
      </w:r>
      <w:r>
        <w:rPr>
          <w:rFonts w:ascii="Times New Roman" w:hAnsi="Times New Roman" w:cs="Times New Roman"/>
        </w:rPr>
        <w:t xml:space="preserve">, respectively.  Hamilton County started </w:t>
      </w:r>
      <w:r w:rsidR="00776E6F">
        <w:rPr>
          <w:rFonts w:ascii="Times New Roman" w:hAnsi="Times New Roman" w:cs="Times New Roman"/>
        </w:rPr>
        <w:t xml:space="preserve">WP </w:t>
      </w:r>
      <w:r>
        <w:rPr>
          <w:rFonts w:ascii="Times New Roman" w:hAnsi="Times New Roman" w:cs="Times New Roman"/>
        </w:rPr>
        <w:t xml:space="preserve">in July 2018.  Administrative data arrive with a lag, so we have a limited ability to observe Hamilton County outcomes after implementation.  </w:t>
      </w:r>
    </w:p>
    <w:p w14:paraId="5C502129" w14:textId="77777777" w:rsidR="00B40C65" w:rsidRDefault="00B40C65" w:rsidP="00F95777">
      <w:pPr>
        <w:jc w:val="both"/>
        <w:rPr>
          <w:rFonts w:ascii="Times New Roman" w:hAnsi="Times New Roman" w:cs="Times New Roman"/>
        </w:rPr>
      </w:pPr>
      <w:r>
        <w:rPr>
          <w:rFonts w:ascii="Times New Roman" w:hAnsi="Times New Roman" w:cs="Times New Roman"/>
        </w:rPr>
        <w:t>Besides the staggered startup for WP, we also need to account for pronounced seasonality in the employment data.  In the Appendix, we examine both seasonality and temporal trends in the data.  Because we found seasonality, when we aggregate data over time, we select four consecutive quarters to aggregate earnings.  While the chosen periods do not start in the same quarter of the year, using four consecutive quarters avoids problems that would be created by having one interval containing unequal numbers of the four quarters.</w:t>
      </w:r>
    </w:p>
    <w:p w14:paraId="2E911095" w14:textId="5CC3BDAB" w:rsidR="00D51C6F" w:rsidRDefault="00783522" w:rsidP="00F95777">
      <w:pPr>
        <w:jc w:val="both"/>
        <w:rPr>
          <w:rFonts w:ascii="Times New Roman" w:hAnsi="Times New Roman" w:cs="Times New Roman"/>
        </w:rPr>
      </w:pPr>
      <w:r>
        <w:rPr>
          <w:rFonts w:ascii="Times New Roman" w:hAnsi="Times New Roman" w:cs="Times New Roman"/>
        </w:rPr>
        <w:t xml:space="preserve">For the four sites in northern Ohio, </w:t>
      </w:r>
      <w:r w:rsidR="00D51C6F">
        <w:rPr>
          <w:rFonts w:ascii="Times New Roman" w:hAnsi="Times New Roman" w:cs="Times New Roman"/>
        </w:rPr>
        <w:t>WP was active</w:t>
      </w:r>
      <w:r>
        <w:rPr>
          <w:rFonts w:ascii="Times New Roman" w:hAnsi="Times New Roman" w:cs="Times New Roman"/>
        </w:rPr>
        <w:t xml:space="preserve"> from 4</w:t>
      </w:r>
      <w:r w:rsidRPr="00783522">
        <w:rPr>
          <w:rFonts w:ascii="Times New Roman" w:hAnsi="Times New Roman" w:cs="Times New Roman"/>
          <w:vertAlign w:val="superscript"/>
        </w:rPr>
        <w:t>th</w:t>
      </w:r>
      <w:r>
        <w:rPr>
          <w:rFonts w:ascii="Times New Roman" w:hAnsi="Times New Roman" w:cs="Times New Roman"/>
        </w:rPr>
        <w:t xml:space="preserve"> </w:t>
      </w:r>
      <w:r w:rsidR="00F453BD">
        <w:rPr>
          <w:rFonts w:ascii="Times New Roman" w:hAnsi="Times New Roman" w:cs="Times New Roman"/>
        </w:rPr>
        <w:t>Q</w:t>
      </w:r>
      <w:r>
        <w:rPr>
          <w:rFonts w:ascii="Times New Roman" w:hAnsi="Times New Roman" w:cs="Times New Roman"/>
        </w:rPr>
        <w:t xml:space="preserve">uarter 2017 on, so tracking </w:t>
      </w:r>
      <w:r w:rsidR="00D51C6F">
        <w:rPr>
          <w:rFonts w:ascii="Times New Roman" w:hAnsi="Times New Roman" w:cs="Times New Roman"/>
        </w:rPr>
        <w:t>eligible clients</w:t>
      </w:r>
      <w:r>
        <w:rPr>
          <w:rFonts w:ascii="Times New Roman" w:hAnsi="Times New Roman" w:cs="Times New Roman"/>
        </w:rPr>
        <w:t xml:space="preserve"> through the 3</w:t>
      </w:r>
      <w:r w:rsidRPr="00783522">
        <w:rPr>
          <w:rFonts w:ascii="Times New Roman" w:hAnsi="Times New Roman" w:cs="Times New Roman"/>
          <w:vertAlign w:val="superscript"/>
        </w:rPr>
        <w:t>rd</w:t>
      </w:r>
      <w:r>
        <w:rPr>
          <w:rFonts w:ascii="Times New Roman" w:hAnsi="Times New Roman" w:cs="Times New Roman"/>
        </w:rPr>
        <w:t xml:space="preserve"> quarter of 2018 will give us four quarters of data when WP was active.  We will not have enough time to evaluate their WP outcomes for the two years through 3</w:t>
      </w:r>
      <w:r w:rsidRPr="00783522">
        <w:rPr>
          <w:rFonts w:ascii="Times New Roman" w:hAnsi="Times New Roman" w:cs="Times New Roman"/>
          <w:vertAlign w:val="superscript"/>
        </w:rPr>
        <w:t>rd</w:t>
      </w:r>
      <w:r>
        <w:rPr>
          <w:rFonts w:ascii="Times New Roman" w:hAnsi="Times New Roman" w:cs="Times New Roman"/>
        </w:rPr>
        <w:t xml:space="preserve"> </w:t>
      </w:r>
      <w:r w:rsidR="00F453BD">
        <w:rPr>
          <w:rFonts w:ascii="Times New Roman" w:hAnsi="Times New Roman" w:cs="Times New Roman"/>
        </w:rPr>
        <w:t>Q</w:t>
      </w:r>
      <w:r>
        <w:rPr>
          <w:rFonts w:ascii="Times New Roman" w:hAnsi="Times New Roman" w:cs="Times New Roman"/>
        </w:rPr>
        <w:t>uarter 2019 due to the time required to release the UI Earnings data</w:t>
      </w:r>
      <w:r w:rsidR="00D51C6F">
        <w:rPr>
          <w:rFonts w:ascii="Times New Roman" w:hAnsi="Times New Roman" w:cs="Times New Roman"/>
        </w:rPr>
        <w:t xml:space="preserve"> and program end September 30, 2019</w:t>
      </w:r>
      <w:r>
        <w:rPr>
          <w:rFonts w:ascii="Times New Roman" w:hAnsi="Times New Roman" w:cs="Times New Roman"/>
        </w:rPr>
        <w:t xml:space="preserve">.  Since we cannot look at two years of WP outcomes in northern Ohio, our best alternative, given we need to look at the data in four quarter blocks, </w:t>
      </w:r>
      <w:r w:rsidR="00831498">
        <w:rPr>
          <w:rFonts w:ascii="Times New Roman" w:hAnsi="Times New Roman" w:cs="Times New Roman"/>
        </w:rPr>
        <w:t xml:space="preserve">is to pick our four quarter period post-implementation as late as possible.  This gives </w:t>
      </w:r>
      <w:r>
        <w:rPr>
          <w:rFonts w:ascii="Times New Roman" w:hAnsi="Times New Roman" w:cs="Times New Roman"/>
        </w:rPr>
        <w:t xml:space="preserve">clients </w:t>
      </w:r>
      <w:r w:rsidR="00D51C6F">
        <w:rPr>
          <w:rFonts w:ascii="Times New Roman" w:hAnsi="Times New Roman" w:cs="Times New Roman"/>
        </w:rPr>
        <w:t xml:space="preserve">more exposure to the WP program, earn incentives, and improve their earnings relative to controls should the program be effective.  </w:t>
      </w:r>
    </w:p>
    <w:p w14:paraId="0E35E34C" w14:textId="3AC62E6B" w:rsidR="003543C2" w:rsidRDefault="003543C2" w:rsidP="00F95777">
      <w:pPr>
        <w:jc w:val="both"/>
        <w:rPr>
          <w:rFonts w:ascii="Times New Roman" w:hAnsi="Times New Roman" w:cs="Times New Roman"/>
        </w:rPr>
      </w:pPr>
      <w:r>
        <w:rPr>
          <w:rFonts w:ascii="Times New Roman" w:hAnsi="Times New Roman" w:cs="Times New Roman"/>
        </w:rPr>
        <w:t xml:space="preserve">We will use the quarterly UI Earnings data extensively and will treat the quarters before the second quarter of 2017 as pre-onset quarters.  We will </w:t>
      </w:r>
      <w:r w:rsidR="00D51C6F">
        <w:rPr>
          <w:rFonts w:ascii="Times New Roman" w:hAnsi="Times New Roman" w:cs="Times New Roman"/>
        </w:rPr>
        <w:t xml:space="preserve">use the four quarters </w:t>
      </w:r>
      <w:r w:rsidR="009A5DD0">
        <w:rPr>
          <w:rFonts w:ascii="Times New Roman" w:hAnsi="Times New Roman" w:cs="Times New Roman"/>
        </w:rPr>
        <w:t>from 2</w:t>
      </w:r>
      <w:r w:rsidR="009A5DD0" w:rsidRPr="009A5DD0">
        <w:rPr>
          <w:rFonts w:ascii="Times New Roman" w:hAnsi="Times New Roman" w:cs="Times New Roman"/>
          <w:vertAlign w:val="superscript"/>
        </w:rPr>
        <w:t>nd</w:t>
      </w:r>
      <w:r w:rsidR="009A5DD0">
        <w:rPr>
          <w:rFonts w:ascii="Times New Roman" w:hAnsi="Times New Roman" w:cs="Times New Roman"/>
        </w:rPr>
        <w:t xml:space="preserve"> </w:t>
      </w:r>
      <w:r w:rsidR="00F453BD">
        <w:rPr>
          <w:rFonts w:ascii="Times New Roman" w:hAnsi="Times New Roman" w:cs="Times New Roman"/>
        </w:rPr>
        <w:t>Q</w:t>
      </w:r>
      <w:r w:rsidR="009A5DD0">
        <w:rPr>
          <w:rFonts w:ascii="Times New Roman" w:hAnsi="Times New Roman" w:cs="Times New Roman"/>
        </w:rPr>
        <w:t xml:space="preserve">uarter </w:t>
      </w:r>
      <w:r w:rsidR="00597F44">
        <w:rPr>
          <w:rFonts w:ascii="Times New Roman" w:hAnsi="Times New Roman" w:cs="Times New Roman"/>
        </w:rPr>
        <w:t xml:space="preserve">2018 </w:t>
      </w:r>
      <w:r w:rsidR="009A5DD0">
        <w:rPr>
          <w:rFonts w:ascii="Times New Roman" w:hAnsi="Times New Roman" w:cs="Times New Roman"/>
        </w:rPr>
        <w:t>through 1</w:t>
      </w:r>
      <w:r w:rsidR="009A5DD0" w:rsidRPr="009A5DD0">
        <w:rPr>
          <w:rFonts w:ascii="Times New Roman" w:hAnsi="Times New Roman" w:cs="Times New Roman"/>
          <w:vertAlign w:val="superscript"/>
        </w:rPr>
        <w:t>st</w:t>
      </w:r>
      <w:r w:rsidR="009A5DD0">
        <w:rPr>
          <w:rFonts w:ascii="Times New Roman" w:hAnsi="Times New Roman" w:cs="Times New Roman"/>
        </w:rPr>
        <w:t xml:space="preserve"> </w:t>
      </w:r>
      <w:r w:rsidR="00F453BD">
        <w:rPr>
          <w:rFonts w:ascii="Times New Roman" w:hAnsi="Times New Roman" w:cs="Times New Roman"/>
        </w:rPr>
        <w:t>Q</w:t>
      </w:r>
      <w:r w:rsidR="009A5DD0">
        <w:rPr>
          <w:rFonts w:ascii="Times New Roman" w:hAnsi="Times New Roman" w:cs="Times New Roman"/>
        </w:rPr>
        <w:t xml:space="preserve">uarter 2019 </w:t>
      </w:r>
      <w:r>
        <w:rPr>
          <w:rFonts w:ascii="Times New Roman" w:hAnsi="Times New Roman" w:cs="Times New Roman"/>
        </w:rPr>
        <w:t xml:space="preserve">as post-onset, </w:t>
      </w:r>
      <w:r w:rsidR="00F64CC7">
        <w:rPr>
          <w:rFonts w:ascii="Times New Roman" w:hAnsi="Times New Roman" w:cs="Times New Roman"/>
        </w:rPr>
        <w:t>and 2</w:t>
      </w:r>
      <w:r w:rsidR="00F64CC7" w:rsidRPr="00F64CC7">
        <w:rPr>
          <w:rFonts w:ascii="Times New Roman" w:hAnsi="Times New Roman" w:cs="Times New Roman"/>
          <w:vertAlign w:val="superscript"/>
        </w:rPr>
        <w:t>nd</w:t>
      </w:r>
      <w:r w:rsidR="00F64CC7">
        <w:rPr>
          <w:rFonts w:ascii="Times New Roman" w:hAnsi="Times New Roman" w:cs="Times New Roman"/>
        </w:rPr>
        <w:t xml:space="preserve"> </w:t>
      </w:r>
      <w:r w:rsidR="00F453BD">
        <w:rPr>
          <w:rFonts w:ascii="Times New Roman" w:hAnsi="Times New Roman" w:cs="Times New Roman"/>
        </w:rPr>
        <w:t>Q</w:t>
      </w:r>
      <w:r w:rsidR="00F64CC7">
        <w:rPr>
          <w:rFonts w:ascii="Times New Roman" w:hAnsi="Times New Roman" w:cs="Times New Roman"/>
        </w:rPr>
        <w:t>uarter 2016 through 1</w:t>
      </w:r>
      <w:r w:rsidR="00F64CC7" w:rsidRPr="00F64CC7">
        <w:rPr>
          <w:rFonts w:ascii="Times New Roman" w:hAnsi="Times New Roman" w:cs="Times New Roman"/>
          <w:vertAlign w:val="superscript"/>
        </w:rPr>
        <w:t>st</w:t>
      </w:r>
      <w:r w:rsidR="00F453BD">
        <w:rPr>
          <w:rFonts w:ascii="Times New Roman" w:hAnsi="Times New Roman" w:cs="Times New Roman"/>
        </w:rPr>
        <w:t>Q</w:t>
      </w:r>
      <w:r w:rsidR="00F64CC7">
        <w:rPr>
          <w:rFonts w:ascii="Times New Roman" w:hAnsi="Times New Roman" w:cs="Times New Roman"/>
        </w:rPr>
        <w:t xml:space="preserve">uarter 2017 as pre-onset for WP, </w:t>
      </w:r>
      <w:r>
        <w:rPr>
          <w:rFonts w:ascii="Times New Roman" w:hAnsi="Times New Roman" w:cs="Times New Roman"/>
        </w:rPr>
        <w:t xml:space="preserve">provided the person was 18 on 31 December 2017. </w:t>
      </w:r>
      <w:r w:rsidR="00C75164">
        <w:rPr>
          <w:rFonts w:ascii="Times New Roman" w:hAnsi="Times New Roman" w:cs="Times New Roman"/>
        </w:rPr>
        <w:t xml:space="preserve"> The most recent quarter for which we have data is </w:t>
      </w:r>
      <w:r w:rsidR="00F453BD">
        <w:rPr>
          <w:rFonts w:ascii="Times New Roman" w:hAnsi="Times New Roman" w:cs="Times New Roman"/>
        </w:rPr>
        <w:t>1</w:t>
      </w:r>
      <w:r w:rsidR="00F453BD" w:rsidRPr="00F453BD">
        <w:rPr>
          <w:rFonts w:ascii="Times New Roman" w:hAnsi="Times New Roman" w:cs="Times New Roman"/>
          <w:vertAlign w:val="superscript"/>
        </w:rPr>
        <w:t>st</w:t>
      </w:r>
      <w:r w:rsidR="00F453BD">
        <w:rPr>
          <w:rFonts w:ascii="Times New Roman" w:hAnsi="Times New Roman" w:cs="Times New Roman"/>
        </w:rPr>
        <w:t xml:space="preserve"> </w:t>
      </w:r>
      <w:r w:rsidR="00C75164">
        <w:rPr>
          <w:rFonts w:ascii="Times New Roman" w:hAnsi="Times New Roman" w:cs="Times New Roman"/>
        </w:rPr>
        <w:t xml:space="preserve"> Quarter 201</w:t>
      </w:r>
      <w:r w:rsidR="009A5DD0">
        <w:rPr>
          <w:rFonts w:ascii="Times New Roman" w:hAnsi="Times New Roman" w:cs="Times New Roman"/>
        </w:rPr>
        <w:t>9</w:t>
      </w:r>
      <w:r w:rsidR="00C75164">
        <w:rPr>
          <w:rFonts w:ascii="Times New Roman" w:hAnsi="Times New Roman" w:cs="Times New Roman"/>
        </w:rPr>
        <w:t>.  Because it took time to phase in WP, we use the latest possible four-quarter interval as post-onset to give the program more time to work.  If we had enough data</w:t>
      </w:r>
      <w:r w:rsidR="009B1E08">
        <w:rPr>
          <w:rFonts w:ascii="Times New Roman" w:hAnsi="Times New Roman" w:cs="Times New Roman"/>
        </w:rPr>
        <w:t xml:space="preserve"> after the program was fully phased-in</w:t>
      </w:r>
      <w:r w:rsidR="00C75164">
        <w:rPr>
          <w:rFonts w:ascii="Times New Roman" w:hAnsi="Times New Roman" w:cs="Times New Roman"/>
        </w:rPr>
        <w:t xml:space="preserve">, we would have picked eight consecutive quarters as the post-onset period.  </w:t>
      </w:r>
      <w:r>
        <w:rPr>
          <w:rFonts w:ascii="Times New Roman" w:hAnsi="Times New Roman" w:cs="Times New Roman"/>
        </w:rPr>
        <w:t xml:space="preserve">For the differences-in-differences analysis, we select people with birth years from 1994 through </w:t>
      </w:r>
      <w:r w:rsidR="00597F44">
        <w:rPr>
          <w:rFonts w:ascii="Times New Roman" w:hAnsi="Times New Roman" w:cs="Times New Roman"/>
        </w:rPr>
        <w:t>2000</w:t>
      </w:r>
      <w:r>
        <w:rPr>
          <w:rFonts w:ascii="Times New Roman" w:hAnsi="Times New Roman" w:cs="Times New Roman"/>
        </w:rPr>
        <w:t xml:space="preserve"> </w:t>
      </w:r>
      <w:r w:rsidR="00BB1AFE">
        <w:rPr>
          <w:rFonts w:ascii="Times New Roman" w:hAnsi="Times New Roman" w:cs="Times New Roman"/>
        </w:rPr>
        <w:t>to</w:t>
      </w:r>
      <w:r>
        <w:rPr>
          <w:rFonts w:ascii="Times New Roman" w:hAnsi="Times New Roman" w:cs="Times New Roman"/>
        </w:rPr>
        <w:t xml:space="preserve"> stay close to the 18-24 age range set by the program.</w:t>
      </w:r>
      <w:r>
        <w:rPr>
          <w:rStyle w:val="FootnoteReference"/>
          <w:rFonts w:ascii="Times New Roman" w:hAnsi="Times New Roman" w:cs="Times New Roman"/>
        </w:rPr>
        <w:footnoteReference w:id="20"/>
      </w:r>
      <w:r>
        <w:rPr>
          <w:rFonts w:ascii="Times New Roman" w:hAnsi="Times New Roman" w:cs="Times New Roman"/>
        </w:rPr>
        <w:t xml:space="preserve">  </w:t>
      </w:r>
    </w:p>
    <w:p w14:paraId="445D92CE" w14:textId="77777777" w:rsidR="003110C1" w:rsidRPr="000463F8" w:rsidRDefault="003110C1" w:rsidP="00F95777">
      <w:pPr>
        <w:pStyle w:val="Heading3"/>
        <w:jc w:val="both"/>
        <w:rPr>
          <w:rFonts w:ascii="Times New Roman" w:hAnsi="Times New Roman" w:cs="Times New Roman"/>
        </w:rPr>
      </w:pPr>
      <w:bookmarkStart w:id="22" w:name="_Toc20468475"/>
      <w:r w:rsidRPr="000463F8">
        <w:rPr>
          <w:rFonts w:ascii="Times New Roman" w:hAnsi="Times New Roman" w:cs="Times New Roman"/>
        </w:rPr>
        <w:t>Survey Data</w:t>
      </w:r>
      <w:bookmarkEnd w:id="22"/>
    </w:p>
    <w:p w14:paraId="54D5CB84" w14:textId="77777777" w:rsidR="00534B12" w:rsidRDefault="002D57ED" w:rsidP="00F95777">
      <w:pPr>
        <w:jc w:val="both"/>
        <w:rPr>
          <w:rFonts w:ascii="Times New Roman" w:hAnsi="Times New Roman" w:cs="Times New Roman"/>
        </w:rPr>
      </w:pPr>
      <w:r>
        <w:rPr>
          <w:rFonts w:ascii="Times New Roman" w:hAnsi="Times New Roman" w:cs="Times New Roman"/>
        </w:rPr>
        <w:t>The administrative data described above have a great deal of detail; only exploring the metadata on the OLDA web site</w:t>
      </w:r>
      <w:r w:rsidR="00825735">
        <w:rPr>
          <w:rFonts w:ascii="Times New Roman" w:hAnsi="Times New Roman" w:cs="Times New Roman"/>
        </w:rPr>
        <w:t xml:space="preserve"> will convey the scope of the data we have access to.  An important part of this evaluation centers on three factors:  the rate of pay, hours worked</w:t>
      </w:r>
      <w:r w:rsidR="00D25B64">
        <w:rPr>
          <w:rFonts w:ascii="Times New Roman" w:hAnsi="Times New Roman" w:cs="Times New Roman"/>
        </w:rPr>
        <w:t>,</w:t>
      </w:r>
      <w:r w:rsidR="00825735">
        <w:rPr>
          <w:rFonts w:ascii="Times New Roman" w:hAnsi="Times New Roman" w:cs="Times New Roman"/>
        </w:rPr>
        <w:t xml:space="preserve"> and occupation.  The Wage Pathways program (and CCMEP more generally) aims to help young workers establish careers that lead to self-sufficiency, hence the focus on wages and hours.  In addition, Ohio has a major focus on training programs outside the traditional college degree track.  WP </w:t>
      </w:r>
      <w:r w:rsidR="0001671B">
        <w:rPr>
          <w:rFonts w:ascii="Times New Roman" w:hAnsi="Times New Roman" w:cs="Times New Roman"/>
        </w:rPr>
        <w:t>has an incentive tied to “in demand” jobs.  However, the major administrative data resource on employees – the UI Earnings file – does not measure wage rates, hours worked or occupation.  The UI Earnings file records quarterly earnings for each worker’s employer and the number of weeks worked in the quarter for that employer, but not hours worked, rate of pay or occupation.  That left it to the evaluation team to collect those data</w:t>
      </w:r>
      <w:r w:rsidR="00D25B64">
        <w:rPr>
          <w:rFonts w:ascii="Times New Roman" w:hAnsi="Times New Roman" w:cs="Times New Roman"/>
        </w:rPr>
        <w:t xml:space="preserve"> independently</w:t>
      </w:r>
      <w:r w:rsidR="0001671B">
        <w:rPr>
          <w:rFonts w:ascii="Times New Roman" w:hAnsi="Times New Roman" w:cs="Times New Roman"/>
        </w:rPr>
        <w:t xml:space="preserve">.  </w:t>
      </w:r>
    </w:p>
    <w:p w14:paraId="28ED6943" w14:textId="37632C3D" w:rsidR="00534B12" w:rsidRDefault="00534B12" w:rsidP="00F95777">
      <w:pPr>
        <w:jc w:val="both"/>
        <w:rPr>
          <w:rFonts w:ascii="Times New Roman" w:hAnsi="Times New Roman" w:cs="Times New Roman"/>
        </w:rPr>
      </w:pPr>
      <w:r>
        <w:rPr>
          <w:rFonts w:ascii="Times New Roman" w:hAnsi="Times New Roman" w:cs="Times New Roman"/>
        </w:rPr>
        <w:t xml:space="preserve">For the survey, </w:t>
      </w:r>
      <w:r w:rsidR="004021BD">
        <w:rPr>
          <w:rFonts w:ascii="Times New Roman" w:hAnsi="Times New Roman" w:cs="Times New Roman"/>
        </w:rPr>
        <w:t>operations staff at CHRR</w:t>
      </w:r>
      <w:r>
        <w:rPr>
          <w:rFonts w:ascii="Times New Roman" w:hAnsi="Times New Roman" w:cs="Times New Roman"/>
        </w:rPr>
        <w:t xml:space="preserve"> used the respondent’s phone number (predominantly a mobile phone) from the enrollment form completed upon registering for CCMEP.  </w:t>
      </w:r>
      <w:r w:rsidR="002B6BAD">
        <w:rPr>
          <w:rFonts w:ascii="Times New Roman" w:hAnsi="Times New Roman" w:cs="Times New Roman"/>
        </w:rPr>
        <w:t>We provided a link the respondent</w:t>
      </w:r>
      <w:r w:rsidR="00D25B64">
        <w:rPr>
          <w:rFonts w:ascii="Times New Roman" w:hAnsi="Times New Roman" w:cs="Times New Roman"/>
        </w:rPr>
        <w:t>s</w:t>
      </w:r>
      <w:r w:rsidR="002B6BAD">
        <w:rPr>
          <w:rFonts w:ascii="Times New Roman" w:hAnsi="Times New Roman" w:cs="Times New Roman"/>
        </w:rPr>
        <w:t xml:space="preserve"> could tap on and that took them to the survey.  </w:t>
      </w:r>
      <w:r>
        <w:rPr>
          <w:rFonts w:ascii="Times New Roman" w:hAnsi="Times New Roman" w:cs="Times New Roman"/>
        </w:rPr>
        <w:t xml:space="preserve">We texted the youths a message inviting them to do the </w:t>
      </w:r>
      <w:r>
        <w:rPr>
          <w:rFonts w:ascii="Times New Roman" w:hAnsi="Times New Roman" w:cs="Times New Roman"/>
        </w:rPr>
        <w:lastRenderedPageBreak/>
        <w:t>survey, promising it would be short, confidential and they would get a $10 incentive.</w:t>
      </w:r>
      <w:r w:rsidR="002B6BAD">
        <w:rPr>
          <w:rFonts w:ascii="Times New Roman" w:hAnsi="Times New Roman" w:cs="Times New Roman"/>
        </w:rPr>
        <w:t xml:space="preserve">  </w:t>
      </w:r>
      <w:r w:rsidR="00D32658">
        <w:rPr>
          <w:rFonts w:ascii="Times New Roman" w:hAnsi="Times New Roman" w:cs="Times New Roman"/>
        </w:rPr>
        <w:t xml:space="preserve">We encrypted all data transfers.  </w:t>
      </w:r>
      <w:r w:rsidR="002B6BAD">
        <w:rPr>
          <w:rFonts w:ascii="Times New Roman" w:hAnsi="Times New Roman" w:cs="Times New Roman"/>
        </w:rPr>
        <w:t xml:space="preserve">For respondents who did not break-off and </w:t>
      </w:r>
      <w:r w:rsidR="00D32658">
        <w:rPr>
          <w:rFonts w:ascii="Times New Roman" w:hAnsi="Times New Roman" w:cs="Times New Roman"/>
        </w:rPr>
        <w:t xml:space="preserve">subsequently re-start the interview, average time </w:t>
      </w:r>
      <w:r w:rsidR="00D25B64">
        <w:rPr>
          <w:rFonts w:ascii="Times New Roman" w:hAnsi="Times New Roman" w:cs="Times New Roman"/>
        </w:rPr>
        <w:t xml:space="preserve">for survey completion </w:t>
      </w:r>
      <w:r w:rsidR="00D32658">
        <w:rPr>
          <w:rFonts w:ascii="Times New Roman" w:hAnsi="Times New Roman" w:cs="Times New Roman"/>
        </w:rPr>
        <w:t>was a little under three minutes.</w:t>
      </w:r>
    </w:p>
    <w:p w14:paraId="36EBEECE" w14:textId="495A897D" w:rsidR="006F4B63" w:rsidRDefault="00D32658" w:rsidP="00F95777">
      <w:pPr>
        <w:jc w:val="both"/>
        <w:rPr>
          <w:rFonts w:ascii="Times New Roman" w:hAnsi="Times New Roman" w:cs="Times New Roman"/>
        </w:rPr>
      </w:pPr>
      <w:r>
        <w:rPr>
          <w:rFonts w:ascii="Times New Roman" w:hAnsi="Times New Roman" w:cs="Times New Roman"/>
        </w:rPr>
        <w:t xml:space="preserve">To collect data on wages and hours, we used a simplified form of the questions used in the Current Population Survey and the National Longitudinal Surveys.  </w:t>
      </w:r>
      <w:r w:rsidR="00534B12">
        <w:rPr>
          <w:rFonts w:ascii="Times New Roman" w:hAnsi="Times New Roman" w:cs="Times New Roman"/>
        </w:rPr>
        <w:t>Collecting data on occupation presents problems, especially because the survey was self-administered on a mobile phone.</w:t>
      </w:r>
      <w:r>
        <w:rPr>
          <w:rFonts w:ascii="Times New Roman" w:hAnsi="Times New Roman" w:cs="Times New Roman"/>
        </w:rPr>
        <w:t xml:space="preserve">  Usually surveys use trained interviewers to collect occupation data, but that would have made the survey effort prohibitively expensive.  Instead, we used </w:t>
      </w:r>
      <w:r w:rsidRPr="004A2F1F">
        <w:rPr>
          <w:rFonts w:ascii="Times New Roman" w:hAnsi="Times New Roman" w:cs="Times New Roman"/>
          <w:i/>
        </w:rPr>
        <w:t>O*NET-SOC AutoCoder</w:t>
      </w:r>
      <w:r>
        <w:rPr>
          <w:rFonts w:ascii="Times New Roman" w:hAnsi="Times New Roman" w:cs="Times New Roman"/>
        </w:rPr>
        <w:t xml:space="preserve"> from R.M. Wilson Consulting.  This Web application uses</w:t>
      </w:r>
      <w:r w:rsidR="000C39C6">
        <w:rPr>
          <w:rFonts w:ascii="Times New Roman" w:hAnsi="Times New Roman" w:cs="Times New Roman"/>
        </w:rPr>
        <w:t xml:space="preserve"> as inputs the person’s education level, their industry</w:t>
      </w:r>
      <w:r w:rsidR="004A2F1F">
        <w:rPr>
          <w:rStyle w:val="FootnoteReference"/>
          <w:rFonts w:ascii="Times New Roman" w:hAnsi="Times New Roman" w:cs="Times New Roman"/>
        </w:rPr>
        <w:footnoteReference w:id="21"/>
      </w:r>
      <w:r w:rsidR="000C39C6">
        <w:rPr>
          <w:rFonts w:ascii="Times New Roman" w:hAnsi="Times New Roman" w:cs="Times New Roman"/>
        </w:rPr>
        <w:t xml:space="preserve">, and a verbatim description of their job title and responsibilities.  </w:t>
      </w:r>
      <w:r w:rsidR="00E52E30">
        <w:rPr>
          <w:rFonts w:ascii="Times New Roman" w:hAnsi="Times New Roman" w:cs="Times New Roman"/>
        </w:rPr>
        <w:t xml:space="preserve">We took respondent education from the CCMEP enrollment form and industry from the most recent employer in the UI Earnings file.  This avoided having to ask the respondent these questions; asking about industry would have been a speculative exercise in any event.  The </w:t>
      </w:r>
      <w:r w:rsidR="00E52E30" w:rsidRPr="004A2F1F">
        <w:rPr>
          <w:rFonts w:ascii="Times New Roman" w:hAnsi="Times New Roman" w:cs="Times New Roman"/>
          <w:i/>
        </w:rPr>
        <w:t>AutoCoder</w:t>
      </w:r>
      <w:r w:rsidR="00E52E30">
        <w:rPr>
          <w:rFonts w:ascii="Times New Roman" w:hAnsi="Times New Roman" w:cs="Times New Roman"/>
        </w:rPr>
        <w:t xml:space="preserve"> software took this information and generated </w:t>
      </w:r>
      <w:r w:rsidR="00FC13C4">
        <w:rPr>
          <w:rFonts w:ascii="Times New Roman" w:hAnsi="Times New Roman" w:cs="Times New Roman"/>
        </w:rPr>
        <w:t>up to four</w:t>
      </w:r>
      <w:r w:rsidR="00FC13C4">
        <w:rPr>
          <w:rStyle w:val="FootnoteReference"/>
          <w:rFonts w:ascii="Times New Roman" w:hAnsi="Times New Roman" w:cs="Times New Roman"/>
        </w:rPr>
        <w:footnoteReference w:id="22"/>
      </w:r>
      <w:r w:rsidR="00E52E30">
        <w:rPr>
          <w:rFonts w:ascii="Times New Roman" w:hAnsi="Times New Roman" w:cs="Times New Roman"/>
        </w:rPr>
        <w:t xml:space="preserve"> occupation matches to the verbatims and pre-loaded education and industry data.  If the </w:t>
      </w:r>
      <w:r w:rsidR="00E52E30" w:rsidRPr="004A2F1F">
        <w:rPr>
          <w:rFonts w:ascii="Times New Roman" w:hAnsi="Times New Roman" w:cs="Times New Roman"/>
          <w:i/>
        </w:rPr>
        <w:t>AutoCoder</w:t>
      </w:r>
      <w:r w:rsidR="00E52E30">
        <w:rPr>
          <w:rFonts w:ascii="Times New Roman" w:hAnsi="Times New Roman" w:cs="Times New Roman"/>
        </w:rPr>
        <w:t xml:space="preserve"> could not generate any match, the survey asked the respondent to add more detail.  It was rare the </w:t>
      </w:r>
      <w:r w:rsidR="00E52E30" w:rsidRPr="004A2F1F">
        <w:rPr>
          <w:rFonts w:ascii="Times New Roman" w:hAnsi="Times New Roman" w:cs="Times New Roman"/>
          <w:i/>
        </w:rPr>
        <w:t>AutoCoder</w:t>
      </w:r>
      <w:r w:rsidR="00E52E30">
        <w:rPr>
          <w:rFonts w:ascii="Times New Roman" w:hAnsi="Times New Roman" w:cs="Times New Roman"/>
        </w:rPr>
        <w:t xml:space="preserve"> could </w:t>
      </w:r>
      <w:r w:rsidR="00FC13C4">
        <w:rPr>
          <w:rFonts w:ascii="Times New Roman" w:hAnsi="Times New Roman" w:cs="Times New Roman"/>
        </w:rPr>
        <w:t xml:space="preserve">not </w:t>
      </w:r>
      <w:r w:rsidR="00E52E30">
        <w:rPr>
          <w:rFonts w:ascii="Times New Roman" w:hAnsi="Times New Roman" w:cs="Times New Roman"/>
        </w:rPr>
        <w:t>provide tentative matches</w:t>
      </w:r>
      <w:r w:rsidR="00D11161">
        <w:rPr>
          <w:rFonts w:ascii="Times New Roman" w:hAnsi="Times New Roman" w:cs="Times New Roman"/>
        </w:rPr>
        <w:t xml:space="preserve">; we only needed to probe for an additional verbatim in 58 cases, or less than 5% of the time. </w:t>
      </w:r>
      <w:r w:rsidR="00E52E30">
        <w:rPr>
          <w:rFonts w:ascii="Times New Roman" w:hAnsi="Times New Roman" w:cs="Times New Roman"/>
        </w:rPr>
        <w:t xml:space="preserve"> The survey then presented the respondent with </w:t>
      </w:r>
      <w:r w:rsidR="00D11161">
        <w:rPr>
          <w:rFonts w:ascii="Times New Roman" w:hAnsi="Times New Roman" w:cs="Times New Roman"/>
        </w:rPr>
        <w:t xml:space="preserve">the </w:t>
      </w:r>
      <w:r w:rsidR="00E52E30" w:rsidRPr="004A2F1F">
        <w:rPr>
          <w:rFonts w:ascii="Times New Roman" w:hAnsi="Times New Roman" w:cs="Times New Roman"/>
          <w:i/>
        </w:rPr>
        <w:t>AutoCoder</w:t>
      </w:r>
      <w:r w:rsidR="00E52E30">
        <w:rPr>
          <w:rFonts w:ascii="Times New Roman" w:hAnsi="Times New Roman" w:cs="Times New Roman"/>
        </w:rPr>
        <w:t xml:space="preserve">’s best occupation matches and asked the respondent which was the best match.  </w:t>
      </w:r>
      <w:r w:rsidR="004A2F1F">
        <w:rPr>
          <w:rFonts w:ascii="Times New Roman" w:hAnsi="Times New Roman" w:cs="Times New Roman"/>
        </w:rPr>
        <w:t>After reviewing the verbatims and the respondent’s chosen occupational match, w</w:t>
      </w:r>
      <w:r w:rsidR="00E52E30">
        <w:rPr>
          <w:rFonts w:ascii="Times New Roman" w:hAnsi="Times New Roman" w:cs="Times New Roman"/>
        </w:rPr>
        <w:t xml:space="preserve">e were very satisfied with the performance of the </w:t>
      </w:r>
      <w:r w:rsidR="00E52E30" w:rsidRPr="004A2F1F">
        <w:rPr>
          <w:rFonts w:ascii="Times New Roman" w:hAnsi="Times New Roman" w:cs="Times New Roman"/>
          <w:i/>
        </w:rPr>
        <w:t>AutoCoder</w:t>
      </w:r>
      <w:r w:rsidR="00E52E30">
        <w:rPr>
          <w:rFonts w:ascii="Times New Roman" w:hAnsi="Times New Roman" w:cs="Times New Roman"/>
        </w:rPr>
        <w:t xml:space="preserve"> software and our algorithm.</w:t>
      </w:r>
      <w:r w:rsidR="00737192">
        <w:rPr>
          <w:rFonts w:ascii="Times New Roman" w:hAnsi="Times New Roman" w:cs="Times New Roman"/>
        </w:rPr>
        <w:t xml:space="preserve">  Table 4 shows the distribution of occupation within broad </w:t>
      </w:r>
      <w:r w:rsidR="004A2F1F">
        <w:rPr>
          <w:rFonts w:ascii="Times New Roman" w:hAnsi="Times New Roman" w:cs="Times New Roman"/>
        </w:rPr>
        <w:t xml:space="preserve">occupational </w:t>
      </w:r>
      <w:r w:rsidR="00737192">
        <w:rPr>
          <w:rFonts w:ascii="Times New Roman" w:hAnsi="Times New Roman" w:cs="Times New Roman"/>
        </w:rPr>
        <w:t>“families” for the first survey wave</w:t>
      </w:r>
      <w:r w:rsidR="00FE78BD">
        <w:rPr>
          <w:rStyle w:val="FootnoteReference"/>
          <w:rFonts w:ascii="Times New Roman" w:hAnsi="Times New Roman" w:cs="Times New Roman"/>
        </w:rPr>
        <w:footnoteReference w:id="23"/>
      </w:r>
      <w:r w:rsidR="00737192">
        <w:rPr>
          <w:rFonts w:ascii="Times New Roman" w:hAnsi="Times New Roman" w:cs="Times New Roman"/>
        </w:rPr>
        <w:t xml:space="preserve">.  Of the </w:t>
      </w:r>
      <w:r w:rsidR="00D11161">
        <w:rPr>
          <w:rFonts w:ascii="Times New Roman" w:hAnsi="Times New Roman" w:cs="Times New Roman"/>
        </w:rPr>
        <w:t>2255</w:t>
      </w:r>
      <w:r w:rsidR="00737192">
        <w:rPr>
          <w:rFonts w:ascii="Times New Roman" w:hAnsi="Times New Roman" w:cs="Times New Roman"/>
        </w:rPr>
        <w:t xml:space="preserve"> </w:t>
      </w:r>
      <w:r w:rsidR="00D11161">
        <w:rPr>
          <w:rFonts w:ascii="Times New Roman" w:hAnsi="Times New Roman" w:cs="Times New Roman"/>
        </w:rPr>
        <w:t>first</w:t>
      </w:r>
      <w:r w:rsidR="00F453BD">
        <w:rPr>
          <w:rFonts w:ascii="Times New Roman" w:hAnsi="Times New Roman" w:cs="Times New Roman"/>
        </w:rPr>
        <w:t>-</w:t>
      </w:r>
      <w:r w:rsidR="00D11161">
        <w:rPr>
          <w:rFonts w:ascii="Times New Roman" w:hAnsi="Times New Roman" w:cs="Times New Roman"/>
        </w:rPr>
        <w:t xml:space="preserve">wave </w:t>
      </w:r>
      <w:r w:rsidR="00737192">
        <w:rPr>
          <w:rFonts w:ascii="Times New Roman" w:hAnsi="Times New Roman" w:cs="Times New Roman"/>
        </w:rPr>
        <w:t>respondents, 1104 worked in the last week and another 230 worked in the last 30 days, but not in the last week.  Of these 1334 respondents</w:t>
      </w:r>
      <w:r w:rsidR="00D11161">
        <w:rPr>
          <w:rFonts w:ascii="Times New Roman" w:hAnsi="Times New Roman" w:cs="Times New Roman"/>
        </w:rPr>
        <w:t xml:space="preserve"> who had worked in the last 30 days</w:t>
      </w:r>
      <w:r w:rsidR="00737192">
        <w:rPr>
          <w:rFonts w:ascii="Times New Roman" w:hAnsi="Times New Roman" w:cs="Times New Roman"/>
        </w:rPr>
        <w:t>, the algorithm resulted in 1310 coded occupations.</w:t>
      </w:r>
    </w:p>
    <w:p w14:paraId="143528E9" w14:textId="77777777" w:rsidR="00D11161" w:rsidRDefault="00D11161" w:rsidP="00F95777">
      <w:pPr>
        <w:jc w:val="both"/>
        <w:rPr>
          <w:rFonts w:ascii="Times New Roman" w:hAnsi="Times New Roman" w:cs="Times New Roman"/>
        </w:rPr>
      </w:pPr>
      <w:r w:rsidRPr="000463F8">
        <w:rPr>
          <w:rStyle w:val="Heading4Char"/>
          <w:rFonts w:ascii="Times New Roman" w:hAnsi="Times New Roman" w:cs="Times New Roman"/>
        </w:rPr>
        <w:t>Winter 2018/19</w:t>
      </w:r>
      <w:r>
        <w:rPr>
          <w:rFonts w:ascii="Times New Roman" w:hAnsi="Times New Roman" w:cs="Times New Roman"/>
        </w:rPr>
        <w:t xml:space="preserve"> – After initial experimentation with using a lottery as a respondent incentive, we offered respondents a $10 incentive for doing the survey.  We gave respondents three choices of how to receive that incentive</w:t>
      </w:r>
      <w:r w:rsidR="00F86820">
        <w:rPr>
          <w:rFonts w:ascii="Times New Roman" w:hAnsi="Times New Roman" w:cs="Times New Roman"/>
        </w:rPr>
        <w:t>:</w:t>
      </w:r>
      <w:r>
        <w:rPr>
          <w:rFonts w:ascii="Times New Roman" w:hAnsi="Times New Roman" w:cs="Times New Roman"/>
        </w:rPr>
        <w:t xml:space="preserve"> an Amazon gift “card”</w:t>
      </w:r>
      <w:r>
        <w:rPr>
          <w:rStyle w:val="FootnoteReference"/>
          <w:rFonts w:ascii="Times New Roman" w:hAnsi="Times New Roman" w:cs="Times New Roman"/>
        </w:rPr>
        <w:footnoteReference w:id="24"/>
      </w:r>
      <w:r>
        <w:rPr>
          <w:rFonts w:ascii="Times New Roman" w:hAnsi="Times New Roman" w:cs="Times New Roman"/>
        </w:rPr>
        <w:t>, a Walmart gift card or a McDonald’s gift card.</w:t>
      </w:r>
      <w:r w:rsidR="00346FB6">
        <w:rPr>
          <w:rFonts w:ascii="Times New Roman" w:hAnsi="Times New Roman" w:cs="Times New Roman"/>
        </w:rPr>
        <w:t xml:space="preserve">  These choices reflected our judgement that Amazon would be popular with younger persons and Walmart and McDonalds were accessible to lower income people.</w:t>
      </w:r>
    </w:p>
    <w:p w14:paraId="411E0A82" w14:textId="77777777" w:rsidR="00FE78BD" w:rsidRDefault="00FE78BD">
      <w:pPr>
        <w:rPr>
          <w:rFonts w:ascii="Times New Roman" w:hAnsi="Times New Roman" w:cs="Times New Roman"/>
        </w:rPr>
      </w:pPr>
      <w:r>
        <w:rPr>
          <w:rFonts w:ascii="Times New Roman" w:hAnsi="Times New Roman" w:cs="Times New Roman"/>
        </w:rPr>
        <w:br w:type="page"/>
      </w:r>
    </w:p>
    <w:p w14:paraId="566F1E7A" w14:textId="42E75E6B" w:rsidR="00737192" w:rsidRDefault="00737192" w:rsidP="00F95777">
      <w:pPr>
        <w:spacing w:after="0"/>
        <w:jc w:val="center"/>
        <w:rPr>
          <w:rFonts w:ascii="Times New Roman" w:hAnsi="Times New Roman" w:cs="Times New Roman"/>
        </w:rPr>
      </w:pPr>
      <w:r>
        <w:rPr>
          <w:rFonts w:ascii="Times New Roman" w:hAnsi="Times New Roman" w:cs="Times New Roman"/>
        </w:rPr>
        <w:lastRenderedPageBreak/>
        <w:t>Table 4</w:t>
      </w:r>
    </w:p>
    <w:p w14:paraId="7FF1121F" w14:textId="06A55958" w:rsidR="00737192" w:rsidRDefault="00D11161" w:rsidP="00F95777">
      <w:pPr>
        <w:spacing w:after="0"/>
        <w:jc w:val="center"/>
        <w:rPr>
          <w:rFonts w:ascii="Times New Roman" w:hAnsi="Times New Roman" w:cs="Times New Roman"/>
        </w:rPr>
      </w:pPr>
      <w:r>
        <w:rPr>
          <w:rFonts w:ascii="Times New Roman" w:hAnsi="Times New Roman" w:cs="Times New Roman"/>
        </w:rPr>
        <w:t xml:space="preserve">Wave 1 Survey </w:t>
      </w:r>
      <w:r w:rsidR="00737192">
        <w:rPr>
          <w:rFonts w:ascii="Times New Roman" w:hAnsi="Times New Roman" w:cs="Times New Roman"/>
        </w:rPr>
        <w:t>Occupation of CCMEP Respondents</w:t>
      </w:r>
    </w:p>
    <w:tbl>
      <w:tblPr>
        <w:tblW w:w="8200" w:type="dxa"/>
        <w:tblLook w:val="04A0" w:firstRow="1" w:lastRow="0" w:firstColumn="1" w:lastColumn="0" w:noHBand="0" w:noVBand="1"/>
      </w:tblPr>
      <w:tblGrid>
        <w:gridCol w:w="1540"/>
        <w:gridCol w:w="6660"/>
      </w:tblGrid>
      <w:tr w:rsidR="00FE78BD" w:rsidRPr="00FE78BD" w14:paraId="0123DAFC" w14:textId="77777777" w:rsidTr="00FE78BD">
        <w:trPr>
          <w:trHeight w:val="300"/>
          <w:tblHeader/>
        </w:trPr>
        <w:tc>
          <w:tcPr>
            <w:tcW w:w="1540" w:type="dxa"/>
            <w:tcBorders>
              <w:top w:val="nil"/>
              <w:left w:val="nil"/>
              <w:bottom w:val="nil"/>
              <w:right w:val="nil"/>
            </w:tcBorders>
            <w:shd w:val="clear" w:color="auto" w:fill="auto"/>
            <w:noWrap/>
            <w:vAlign w:val="bottom"/>
            <w:hideMark/>
          </w:tcPr>
          <w:p w14:paraId="60C9646A"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Count</w:t>
            </w:r>
          </w:p>
        </w:tc>
        <w:tc>
          <w:tcPr>
            <w:tcW w:w="6660" w:type="dxa"/>
            <w:tcBorders>
              <w:top w:val="nil"/>
              <w:left w:val="nil"/>
              <w:bottom w:val="nil"/>
              <w:right w:val="nil"/>
            </w:tcBorders>
            <w:shd w:val="clear" w:color="auto" w:fill="auto"/>
            <w:noWrap/>
            <w:vAlign w:val="bottom"/>
            <w:hideMark/>
          </w:tcPr>
          <w:p w14:paraId="291E0EA0"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Cell Description</w:t>
            </w:r>
          </w:p>
        </w:tc>
      </w:tr>
      <w:tr w:rsidR="00FE78BD" w:rsidRPr="00FE78BD" w14:paraId="41A02856" w14:textId="77777777" w:rsidTr="00FE78BD">
        <w:trPr>
          <w:trHeight w:val="300"/>
          <w:tblHeader/>
        </w:trPr>
        <w:tc>
          <w:tcPr>
            <w:tcW w:w="1540" w:type="dxa"/>
            <w:tcBorders>
              <w:top w:val="nil"/>
              <w:left w:val="nil"/>
              <w:bottom w:val="nil"/>
              <w:right w:val="nil"/>
            </w:tcBorders>
            <w:shd w:val="clear" w:color="auto" w:fill="auto"/>
            <w:noWrap/>
            <w:vAlign w:val="bottom"/>
            <w:hideMark/>
          </w:tcPr>
          <w:p w14:paraId="57949444" w14:textId="77777777" w:rsidR="00FE78BD" w:rsidRPr="00FE78BD" w:rsidRDefault="00FE78BD" w:rsidP="00FE78BD">
            <w:pPr>
              <w:spacing w:after="0" w:line="240" w:lineRule="auto"/>
              <w:jc w:val="right"/>
              <w:rPr>
                <w:rFonts w:ascii="Calibri" w:eastAsia="Times New Roman" w:hAnsi="Calibri" w:cs="Calibri"/>
                <w:color w:val="000000"/>
              </w:rPr>
            </w:pPr>
            <w:r w:rsidRPr="00FE78BD">
              <w:rPr>
                <w:rFonts w:ascii="Calibri" w:eastAsia="Times New Roman" w:hAnsi="Calibri" w:cs="Calibri"/>
                <w:color w:val="000000"/>
              </w:rPr>
              <w:t>20</w:t>
            </w:r>
          </w:p>
        </w:tc>
        <w:tc>
          <w:tcPr>
            <w:tcW w:w="6660" w:type="dxa"/>
            <w:tcBorders>
              <w:top w:val="nil"/>
              <w:left w:val="nil"/>
              <w:bottom w:val="nil"/>
              <w:right w:val="nil"/>
            </w:tcBorders>
            <w:shd w:val="clear" w:color="auto" w:fill="auto"/>
            <w:noWrap/>
            <w:vAlign w:val="bottom"/>
            <w:hideMark/>
          </w:tcPr>
          <w:p w14:paraId="7A08E0AC"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Management</w:t>
            </w:r>
          </w:p>
        </w:tc>
      </w:tr>
      <w:tr w:rsidR="00FE78BD" w:rsidRPr="00FE78BD" w14:paraId="166CCB64" w14:textId="77777777" w:rsidTr="00FE78BD">
        <w:trPr>
          <w:trHeight w:val="300"/>
          <w:tblHeader/>
        </w:trPr>
        <w:tc>
          <w:tcPr>
            <w:tcW w:w="1540" w:type="dxa"/>
            <w:tcBorders>
              <w:top w:val="nil"/>
              <w:left w:val="nil"/>
              <w:bottom w:val="nil"/>
              <w:right w:val="nil"/>
            </w:tcBorders>
            <w:shd w:val="clear" w:color="auto" w:fill="auto"/>
            <w:noWrap/>
            <w:vAlign w:val="bottom"/>
            <w:hideMark/>
          </w:tcPr>
          <w:p w14:paraId="38383CD7"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6082D686"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Business and Financial Operations</w:t>
            </w:r>
          </w:p>
        </w:tc>
      </w:tr>
      <w:tr w:rsidR="00FE78BD" w:rsidRPr="00FE78BD" w14:paraId="698495BC" w14:textId="77777777" w:rsidTr="00FE78BD">
        <w:trPr>
          <w:trHeight w:val="300"/>
          <w:tblHeader/>
        </w:trPr>
        <w:tc>
          <w:tcPr>
            <w:tcW w:w="1540" w:type="dxa"/>
            <w:tcBorders>
              <w:top w:val="nil"/>
              <w:left w:val="nil"/>
              <w:bottom w:val="nil"/>
              <w:right w:val="nil"/>
            </w:tcBorders>
            <w:shd w:val="clear" w:color="auto" w:fill="auto"/>
            <w:noWrap/>
            <w:vAlign w:val="bottom"/>
            <w:hideMark/>
          </w:tcPr>
          <w:p w14:paraId="66C386B4"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76139D40"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Computer and Mathematical</w:t>
            </w:r>
          </w:p>
        </w:tc>
      </w:tr>
      <w:tr w:rsidR="00FE78BD" w:rsidRPr="00FE78BD" w14:paraId="5B1A30DE" w14:textId="77777777" w:rsidTr="00FE78BD">
        <w:trPr>
          <w:trHeight w:val="375"/>
          <w:tblHeader/>
        </w:trPr>
        <w:tc>
          <w:tcPr>
            <w:tcW w:w="1540" w:type="dxa"/>
            <w:tcBorders>
              <w:top w:val="nil"/>
              <w:left w:val="nil"/>
              <w:bottom w:val="nil"/>
              <w:right w:val="nil"/>
            </w:tcBorders>
            <w:shd w:val="clear" w:color="auto" w:fill="auto"/>
            <w:noWrap/>
            <w:vAlign w:val="bottom"/>
            <w:hideMark/>
          </w:tcPr>
          <w:p w14:paraId="1E71464F"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7AA30595"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Architecture and Engineering Occupations</w:t>
            </w:r>
          </w:p>
        </w:tc>
      </w:tr>
      <w:tr w:rsidR="00FE78BD" w:rsidRPr="00FE78BD" w14:paraId="36180761" w14:textId="77777777" w:rsidTr="00FE78BD">
        <w:trPr>
          <w:trHeight w:val="300"/>
          <w:tblHeader/>
        </w:trPr>
        <w:tc>
          <w:tcPr>
            <w:tcW w:w="1540" w:type="dxa"/>
            <w:tcBorders>
              <w:top w:val="nil"/>
              <w:left w:val="nil"/>
              <w:bottom w:val="nil"/>
              <w:right w:val="nil"/>
            </w:tcBorders>
            <w:shd w:val="clear" w:color="auto" w:fill="auto"/>
            <w:noWrap/>
            <w:vAlign w:val="bottom"/>
            <w:hideMark/>
          </w:tcPr>
          <w:p w14:paraId="16D1ABB6"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04B530A6"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Life, Physical and Social Science</w:t>
            </w:r>
          </w:p>
        </w:tc>
      </w:tr>
      <w:tr w:rsidR="00FE78BD" w:rsidRPr="00FE78BD" w14:paraId="43C0983D" w14:textId="77777777" w:rsidTr="00FE78BD">
        <w:trPr>
          <w:trHeight w:val="300"/>
          <w:tblHeader/>
        </w:trPr>
        <w:tc>
          <w:tcPr>
            <w:tcW w:w="1540" w:type="dxa"/>
            <w:tcBorders>
              <w:top w:val="nil"/>
              <w:left w:val="nil"/>
              <w:bottom w:val="nil"/>
              <w:right w:val="nil"/>
            </w:tcBorders>
            <w:shd w:val="clear" w:color="auto" w:fill="auto"/>
            <w:noWrap/>
            <w:vAlign w:val="bottom"/>
            <w:hideMark/>
          </w:tcPr>
          <w:p w14:paraId="52DFDB1F"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15</w:t>
            </w:r>
          </w:p>
        </w:tc>
        <w:tc>
          <w:tcPr>
            <w:tcW w:w="6660" w:type="dxa"/>
            <w:tcBorders>
              <w:top w:val="nil"/>
              <w:left w:val="nil"/>
              <w:bottom w:val="nil"/>
              <w:right w:val="nil"/>
            </w:tcBorders>
            <w:shd w:val="clear" w:color="auto" w:fill="auto"/>
            <w:noWrap/>
            <w:vAlign w:val="bottom"/>
            <w:hideMark/>
          </w:tcPr>
          <w:p w14:paraId="70E607A7"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Community and Social Service</w:t>
            </w:r>
          </w:p>
        </w:tc>
      </w:tr>
      <w:tr w:rsidR="00FE78BD" w:rsidRPr="00FE78BD" w14:paraId="6209EE30" w14:textId="77777777" w:rsidTr="00FE78BD">
        <w:trPr>
          <w:trHeight w:val="300"/>
          <w:tblHeader/>
        </w:trPr>
        <w:tc>
          <w:tcPr>
            <w:tcW w:w="1540" w:type="dxa"/>
            <w:tcBorders>
              <w:top w:val="nil"/>
              <w:left w:val="nil"/>
              <w:bottom w:val="nil"/>
              <w:right w:val="nil"/>
            </w:tcBorders>
            <w:shd w:val="clear" w:color="auto" w:fill="auto"/>
            <w:noWrap/>
            <w:vAlign w:val="bottom"/>
            <w:hideMark/>
          </w:tcPr>
          <w:p w14:paraId="4E9D3EB1"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34</w:t>
            </w:r>
          </w:p>
        </w:tc>
        <w:tc>
          <w:tcPr>
            <w:tcW w:w="6660" w:type="dxa"/>
            <w:tcBorders>
              <w:top w:val="nil"/>
              <w:left w:val="nil"/>
              <w:bottom w:val="nil"/>
              <w:right w:val="nil"/>
            </w:tcBorders>
            <w:shd w:val="clear" w:color="auto" w:fill="auto"/>
            <w:noWrap/>
            <w:vAlign w:val="bottom"/>
            <w:hideMark/>
          </w:tcPr>
          <w:p w14:paraId="017AE0AD"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Education, Training and Library</w:t>
            </w:r>
          </w:p>
        </w:tc>
      </w:tr>
      <w:tr w:rsidR="00FE78BD" w:rsidRPr="00FE78BD" w14:paraId="1C9D105E" w14:textId="77777777" w:rsidTr="00FE78BD">
        <w:trPr>
          <w:trHeight w:val="300"/>
          <w:tblHeader/>
        </w:trPr>
        <w:tc>
          <w:tcPr>
            <w:tcW w:w="1540" w:type="dxa"/>
            <w:tcBorders>
              <w:top w:val="nil"/>
              <w:left w:val="nil"/>
              <w:bottom w:val="nil"/>
              <w:right w:val="nil"/>
            </w:tcBorders>
            <w:shd w:val="clear" w:color="auto" w:fill="auto"/>
            <w:noWrap/>
            <w:vAlign w:val="bottom"/>
            <w:hideMark/>
          </w:tcPr>
          <w:p w14:paraId="3203A120"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10</w:t>
            </w:r>
          </w:p>
        </w:tc>
        <w:tc>
          <w:tcPr>
            <w:tcW w:w="6660" w:type="dxa"/>
            <w:tcBorders>
              <w:top w:val="nil"/>
              <w:left w:val="nil"/>
              <w:bottom w:val="nil"/>
              <w:right w:val="nil"/>
            </w:tcBorders>
            <w:shd w:val="clear" w:color="auto" w:fill="auto"/>
            <w:noWrap/>
            <w:vAlign w:val="bottom"/>
            <w:hideMark/>
          </w:tcPr>
          <w:p w14:paraId="504906F7"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Arts, Design, Entertainment, Sports and Media</w:t>
            </w:r>
          </w:p>
        </w:tc>
      </w:tr>
      <w:tr w:rsidR="00FE78BD" w:rsidRPr="00FE78BD" w14:paraId="4AB2926E" w14:textId="77777777" w:rsidTr="00FE78BD">
        <w:trPr>
          <w:trHeight w:val="300"/>
          <w:tblHeader/>
        </w:trPr>
        <w:tc>
          <w:tcPr>
            <w:tcW w:w="1540" w:type="dxa"/>
            <w:tcBorders>
              <w:top w:val="nil"/>
              <w:left w:val="nil"/>
              <w:bottom w:val="nil"/>
              <w:right w:val="nil"/>
            </w:tcBorders>
            <w:shd w:val="clear" w:color="auto" w:fill="auto"/>
            <w:noWrap/>
            <w:vAlign w:val="bottom"/>
            <w:hideMark/>
          </w:tcPr>
          <w:p w14:paraId="5089A96F"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28</w:t>
            </w:r>
          </w:p>
        </w:tc>
        <w:tc>
          <w:tcPr>
            <w:tcW w:w="6660" w:type="dxa"/>
            <w:tcBorders>
              <w:top w:val="nil"/>
              <w:left w:val="nil"/>
              <w:bottom w:val="nil"/>
              <w:right w:val="nil"/>
            </w:tcBorders>
            <w:shd w:val="clear" w:color="auto" w:fill="auto"/>
            <w:noWrap/>
            <w:vAlign w:val="bottom"/>
            <w:hideMark/>
          </w:tcPr>
          <w:p w14:paraId="4C35E582"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Healthcare Practitioners and Technical</w:t>
            </w:r>
          </w:p>
        </w:tc>
      </w:tr>
      <w:tr w:rsidR="00FE78BD" w:rsidRPr="00FE78BD" w14:paraId="3099D364" w14:textId="77777777" w:rsidTr="00FE78BD">
        <w:trPr>
          <w:trHeight w:val="300"/>
          <w:tblHeader/>
        </w:trPr>
        <w:tc>
          <w:tcPr>
            <w:tcW w:w="1540" w:type="dxa"/>
            <w:tcBorders>
              <w:top w:val="nil"/>
              <w:left w:val="nil"/>
              <w:bottom w:val="nil"/>
              <w:right w:val="nil"/>
            </w:tcBorders>
            <w:shd w:val="clear" w:color="auto" w:fill="auto"/>
            <w:noWrap/>
            <w:vAlign w:val="bottom"/>
            <w:hideMark/>
          </w:tcPr>
          <w:p w14:paraId="3FA85682"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102</w:t>
            </w:r>
          </w:p>
        </w:tc>
        <w:tc>
          <w:tcPr>
            <w:tcW w:w="6660" w:type="dxa"/>
            <w:tcBorders>
              <w:top w:val="nil"/>
              <w:left w:val="nil"/>
              <w:bottom w:val="nil"/>
              <w:right w:val="nil"/>
            </w:tcBorders>
            <w:shd w:val="clear" w:color="auto" w:fill="auto"/>
            <w:noWrap/>
            <w:vAlign w:val="bottom"/>
            <w:hideMark/>
          </w:tcPr>
          <w:p w14:paraId="380B9D2F"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Healthcare Support</w:t>
            </w:r>
          </w:p>
        </w:tc>
      </w:tr>
      <w:tr w:rsidR="00FE78BD" w:rsidRPr="00FE78BD" w14:paraId="0B64C965" w14:textId="77777777" w:rsidTr="00FE78BD">
        <w:trPr>
          <w:trHeight w:val="300"/>
          <w:tblHeader/>
        </w:trPr>
        <w:tc>
          <w:tcPr>
            <w:tcW w:w="1540" w:type="dxa"/>
            <w:tcBorders>
              <w:top w:val="nil"/>
              <w:left w:val="nil"/>
              <w:bottom w:val="nil"/>
              <w:right w:val="nil"/>
            </w:tcBorders>
            <w:shd w:val="clear" w:color="auto" w:fill="auto"/>
            <w:noWrap/>
            <w:vAlign w:val="bottom"/>
            <w:hideMark/>
          </w:tcPr>
          <w:p w14:paraId="184F6977"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17</w:t>
            </w:r>
          </w:p>
        </w:tc>
        <w:tc>
          <w:tcPr>
            <w:tcW w:w="6660" w:type="dxa"/>
            <w:tcBorders>
              <w:top w:val="nil"/>
              <w:left w:val="nil"/>
              <w:bottom w:val="nil"/>
              <w:right w:val="nil"/>
            </w:tcBorders>
            <w:shd w:val="clear" w:color="auto" w:fill="auto"/>
            <w:noWrap/>
            <w:vAlign w:val="bottom"/>
            <w:hideMark/>
          </w:tcPr>
          <w:p w14:paraId="398DAE4E"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Protective Service</w:t>
            </w:r>
          </w:p>
        </w:tc>
      </w:tr>
      <w:tr w:rsidR="00FE78BD" w:rsidRPr="00FE78BD" w14:paraId="5C09AD6B" w14:textId="77777777" w:rsidTr="00FE78BD">
        <w:trPr>
          <w:trHeight w:val="300"/>
          <w:tblHeader/>
        </w:trPr>
        <w:tc>
          <w:tcPr>
            <w:tcW w:w="1540" w:type="dxa"/>
            <w:tcBorders>
              <w:top w:val="nil"/>
              <w:left w:val="nil"/>
              <w:bottom w:val="nil"/>
              <w:right w:val="nil"/>
            </w:tcBorders>
            <w:shd w:val="clear" w:color="auto" w:fill="auto"/>
            <w:noWrap/>
            <w:vAlign w:val="bottom"/>
            <w:hideMark/>
          </w:tcPr>
          <w:p w14:paraId="348EE01D"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299</w:t>
            </w:r>
          </w:p>
        </w:tc>
        <w:tc>
          <w:tcPr>
            <w:tcW w:w="6660" w:type="dxa"/>
            <w:tcBorders>
              <w:top w:val="nil"/>
              <w:left w:val="nil"/>
              <w:bottom w:val="nil"/>
              <w:right w:val="nil"/>
            </w:tcBorders>
            <w:shd w:val="clear" w:color="auto" w:fill="auto"/>
            <w:noWrap/>
            <w:vAlign w:val="bottom"/>
            <w:hideMark/>
          </w:tcPr>
          <w:p w14:paraId="683889C1"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Food Preparation and Serving</w:t>
            </w:r>
          </w:p>
        </w:tc>
      </w:tr>
      <w:tr w:rsidR="00FE78BD" w:rsidRPr="00FE78BD" w14:paraId="7B27AFB6" w14:textId="77777777" w:rsidTr="00FE78BD">
        <w:trPr>
          <w:trHeight w:val="390"/>
          <w:tblHeader/>
        </w:trPr>
        <w:tc>
          <w:tcPr>
            <w:tcW w:w="1540" w:type="dxa"/>
            <w:tcBorders>
              <w:top w:val="nil"/>
              <w:left w:val="nil"/>
              <w:bottom w:val="nil"/>
              <w:right w:val="nil"/>
            </w:tcBorders>
            <w:shd w:val="clear" w:color="auto" w:fill="auto"/>
            <w:noWrap/>
            <w:vAlign w:val="bottom"/>
            <w:hideMark/>
          </w:tcPr>
          <w:p w14:paraId="7A4EC8D2"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122</w:t>
            </w:r>
          </w:p>
        </w:tc>
        <w:tc>
          <w:tcPr>
            <w:tcW w:w="6660" w:type="dxa"/>
            <w:tcBorders>
              <w:top w:val="nil"/>
              <w:left w:val="nil"/>
              <w:bottom w:val="nil"/>
              <w:right w:val="nil"/>
            </w:tcBorders>
            <w:shd w:val="clear" w:color="auto" w:fill="auto"/>
            <w:noWrap/>
            <w:vAlign w:val="bottom"/>
            <w:hideMark/>
          </w:tcPr>
          <w:p w14:paraId="3B7B1028"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Building and Grounds Cleaning and Maintenance</w:t>
            </w:r>
          </w:p>
        </w:tc>
      </w:tr>
      <w:tr w:rsidR="00FE78BD" w:rsidRPr="00FE78BD" w14:paraId="37017154" w14:textId="77777777" w:rsidTr="00FE78BD">
        <w:trPr>
          <w:trHeight w:val="300"/>
          <w:tblHeader/>
        </w:trPr>
        <w:tc>
          <w:tcPr>
            <w:tcW w:w="1540" w:type="dxa"/>
            <w:tcBorders>
              <w:top w:val="nil"/>
              <w:left w:val="nil"/>
              <w:bottom w:val="nil"/>
              <w:right w:val="nil"/>
            </w:tcBorders>
            <w:shd w:val="clear" w:color="auto" w:fill="auto"/>
            <w:noWrap/>
            <w:vAlign w:val="bottom"/>
            <w:hideMark/>
          </w:tcPr>
          <w:p w14:paraId="3C8CC983"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98</w:t>
            </w:r>
          </w:p>
        </w:tc>
        <w:tc>
          <w:tcPr>
            <w:tcW w:w="6660" w:type="dxa"/>
            <w:tcBorders>
              <w:top w:val="nil"/>
              <w:left w:val="nil"/>
              <w:bottom w:val="nil"/>
              <w:right w:val="nil"/>
            </w:tcBorders>
            <w:shd w:val="clear" w:color="auto" w:fill="auto"/>
            <w:noWrap/>
            <w:vAlign w:val="bottom"/>
            <w:hideMark/>
          </w:tcPr>
          <w:p w14:paraId="001B6BC1"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Personal Care and Service</w:t>
            </w:r>
          </w:p>
        </w:tc>
      </w:tr>
      <w:tr w:rsidR="00FE78BD" w:rsidRPr="00FE78BD" w14:paraId="38F41FD4" w14:textId="77777777" w:rsidTr="00FE78BD">
        <w:trPr>
          <w:trHeight w:val="300"/>
          <w:tblHeader/>
        </w:trPr>
        <w:tc>
          <w:tcPr>
            <w:tcW w:w="1540" w:type="dxa"/>
            <w:tcBorders>
              <w:top w:val="nil"/>
              <w:left w:val="nil"/>
              <w:bottom w:val="nil"/>
              <w:right w:val="nil"/>
            </w:tcBorders>
            <w:shd w:val="clear" w:color="auto" w:fill="auto"/>
            <w:noWrap/>
            <w:vAlign w:val="bottom"/>
            <w:hideMark/>
          </w:tcPr>
          <w:p w14:paraId="4D656F6B"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156</w:t>
            </w:r>
          </w:p>
        </w:tc>
        <w:tc>
          <w:tcPr>
            <w:tcW w:w="6660" w:type="dxa"/>
            <w:tcBorders>
              <w:top w:val="nil"/>
              <w:left w:val="nil"/>
              <w:bottom w:val="nil"/>
              <w:right w:val="nil"/>
            </w:tcBorders>
            <w:shd w:val="clear" w:color="auto" w:fill="auto"/>
            <w:noWrap/>
            <w:vAlign w:val="bottom"/>
            <w:hideMark/>
          </w:tcPr>
          <w:p w14:paraId="4770442C"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Sales and Related</w:t>
            </w:r>
          </w:p>
        </w:tc>
      </w:tr>
      <w:tr w:rsidR="00FE78BD" w:rsidRPr="00FE78BD" w14:paraId="398EC080" w14:textId="77777777" w:rsidTr="00FE78BD">
        <w:trPr>
          <w:trHeight w:val="300"/>
          <w:tblHeader/>
        </w:trPr>
        <w:tc>
          <w:tcPr>
            <w:tcW w:w="1540" w:type="dxa"/>
            <w:tcBorders>
              <w:top w:val="nil"/>
              <w:left w:val="nil"/>
              <w:bottom w:val="nil"/>
              <w:right w:val="nil"/>
            </w:tcBorders>
            <w:shd w:val="clear" w:color="auto" w:fill="auto"/>
            <w:noWrap/>
            <w:vAlign w:val="bottom"/>
            <w:hideMark/>
          </w:tcPr>
          <w:p w14:paraId="0875EBAD"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144</w:t>
            </w:r>
          </w:p>
        </w:tc>
        <w:tc>
          <w:tcPr>
            <w:tcW w:w="6660" w:type="dxa"/>
            <w:tcBorders>
              <w:top w:val="nil"/>
              <w:left w:val="nil"/>
              <w:bottom w:val="nil"/>
              <w:right w:val="nil"/>
            </w:tcBorders>
            <w:shd w:val="clear" w:color="auto" w:fill="auto"/>
            <w:noWrap/>
            <w:vAlign w:val="bottom"/>
            <w:hideMark/>
          </w:tcPr>
          <w:p w14:paraId="2EDEEF4A"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Office and Administrative Support</w:t>
            </w:r>
          </w:p>
        </w:tc>
      </w:tr>
      <w:tr w:rsidR="00FE78BD" w:rsidRPr="00FE78BD" w14:paraId="6E891D7E" w14:textId="77777777" w:rsidTr="00FE78BD">
        <w:trPr>
          <w:trHeight w:val="300"/>
          <w:tblHeader/>
        </w:trPr>
        <w:tc>
          <w:tcPr>
            <w:tcW w:w="1540" w:type="dxa"/>
            <w:tcBorders>
              <w:top w:val="nil"/>
              <w:left w:val="nil"/>
              <w:bottom w:val="nil"/>
              <w:right w:val="nil"/>
            </w:tcBorders>
            <w:shd w:val="clear" w:color="auto" w:fill="auto"/>
            <w:noWrap/>
            <w:vAlign w:val="bottom"/>
            <w:hideMark/>
          </w:tcPr>
          <w:p w14:paraId="347BC771"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0B9F04D5"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Farming, Fishing and Forestry</w:t>
            </w:r>
          </w:p>
        </w:tc>
      </w:tr>
      <w:tr w:rsidR="00FE78BD" w:rsidRPr="00FE78BD" w14:paraId="386B2EAC" w14:textId="77777777" w:rsidTr="00FE78BD">
        <w:trPr>
          <w:trHeight w:val="300"/>
          <w:tblHeader/>
        </w:trPr>
        <w:tc>
          <w:tcPr>
            <w:tcW w:w="1540" w:type="dxa"/>
            <w:tcBorders>
              <w:top w:val="nil"/>
              <w:left w:val="nil"/>
              <w:bottom w:val="nil"/>
              <w:right w:val="nil"/>
            </w:tcBorders>
            <w:shd w:val="clear" w:color="auto" w:fill="auto"/>
            <w:noWrap/>
            <w:vAlign w:val="bottom"/>
            <w:hideMark/>
          </w:tcPr>
          <w:p w14:paraId="1D3D5ADE"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22</w:t>
            </w:r>
          </w:p>
        </w:tc>
        <w:tc>
          <w:tcPr>
            <w:tcW w:w="6660" w:type="dxa"/>
            <w:tcBorders>
              <w:top w:val="nil"/>
              <w:left w:val="nil"/>
              <w:bottom w:val="nil"/>
              <w:right w:val="nil"/>
            </w:tcBorders>
            <w:shd w:val="clear" w:color="auto" w:fill="auto"/>
            <w:noWrap/>
            <w:vAlign w:val="bottom"/>
            <w:hideMark/>
          </w:tcPr>
          <w:p w14:paraId="55D3C64C"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Construction and Extraction</w:t>
            </w:r>
          </w:p>
        </w:tc>
      </w:tr>
      <w:tr w:rsidR="00FE78BD" w:rsidRPr="00FE78BD" w14:paraId="6BD16591" w14:textId="77777777" w:rsidTr="00FE78BD">
        <w:trPr>
          <w:trHeight w:val="300"/>
          <w:tblHeader/>
        </w:trPr>
        <w:tc>
          <w:tcPr>
            <w:tcW w:w="1540" w:type="dxa"/>
            <w:tcBorders>
              <w:top w:val="nil"/>
              <w:left w:val="nil"/>
              <w:bottom w:val="nil"/>
              <w:right w:val="nil"/>
            </w:tcBorders>
            <w:shd w:val="clear" w:color="auto" w:fill="auto"/>
            <w:noWrap/>
            <w:vAlign w:val="bottom"/>
            <w:hideMark/>
          </w:tcPr>
          <w:p w14:paraId="02EA46E4"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31</w:t>
            </w:r>
          </w:p>
        </w:tc>
        <w:tc>
          <w:tcPr>
            <w:tcW w:w="6660" w:type="dxa"/>
            <w:tcBorders>
              <w:top w:val="nil"/>
              <w:left w:val="nil"/>
              <w:bottom w:val="nil"/>
              <w:right w:val="nil"/>
            </w:tcBorders>
            <w:shd w:val="clear" w:color="auto" w:fill="auto"/>
            <w:noWrap/>
            <w:vAlign w:val="bottom"/>
            <w:hideMark/>
          </w:tcPr>
          <w:p w14:paraId="70AE5A76"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Installation, Maintenance and Repair</w:t>
            </w:r>
          </w:p>
        </w:tc>
      </w:tr>
      <w:tr w:rsidR="00FE78BD" w:rsidRPr="00FE78BD" w14:paraId="6346D96C" w14:textId="77777777" w:rsidTr="00FE78BD">
        <w:trPr>
          <w:trHeight w:val="300"/>
          <w:tblHeader/>
        </w:trPr>
        <w:tc>
          <w:tcPr>
            <w:tcW w:w="1540" w:type="dxa"/>
            <w:tcBorders>
              <w:top w:val="nil"/>
              <w:left w:val="nil"/>
              <w:bottom w:val="nil"/>
              <w:right w:val="nil"/>
            </w:tcBorders>
            <w:shd w:val="clear" w:color="auto" w:fill="auto"/>
            <w:noWrap/>
            <w:vAlign w:val="bottom"/>
            <w:hideMark/>
          </w:tcPr>
          <w:p w14:paraId="5B325074"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88</w:t>
            </w:r>
          </w:p>
        </w:tc>
        <w:tc>
          <w:tcPr>
            <w:tcW w:w="6660" w:type="dxa"/>
            <w:tcBorders>
              <w:top w:val="nil"/>
              <w:left w:val="nil"/>
              <w:bottom w:val="nil"/>
              <w:right w:val="nil"/>
            </w:tcBorders>
            <w:shd w:val="clear" w:color="auto" w:fill="auto"/>
            <w:noWrap/>
            <w:vAlign w:val="bottom"/>
            <w:hideMark/>
          </w:tcPr>
          <w:p w14:paraId="344557D2"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Production</w:t>
            </w:r>
          </w:p>
        </w:tc>
      </w:tr>
      <w:tr w:rsidR="00FE78BD" w:rsidRPr="00FE78BD" w14:paraId="4A9E3FEB" w14:textId="77777777" w:rsidTr="00FE78BD">
        <w:trPr>
          <w:trHeight w:val="300"/>
          <w:tblHeader/>
        </w:trPr>
        <w:tc>
          <w:tcPr>
            <w:tcW w:w="1540" w:type="dxa"/>
            <w:tcBorders>
              <w:top w:val="nil"/>
              <w:left w:val="nil"/>
              <w:bottom w:val="nil"/>
              <w:right w:val="nil"/>
            </w:tcBorders>
            <w:shd w:val="clear" w:color="auto" w:fill="auto"/>
            <w:noWrap/>
            <w:vAlign w:val="bottom"/>
            <w:hideMark/>
          </w:tcPr>
          <w:p w14:paraId="300FDEAD"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101</w:t>
            </w:r>
          </w:p>
        </w:tc>
        <w:tc>
          <w:tcPr>
            <w:tcW w:w="6660" w:type="dxa"/>
            <w:tcBorders>
              <w:top w:val="nil"/>
              <w:left w:val="nil"/>
              <w:bottom w:val="nil"/>
              <w:right w:val="nil"/>
            </w:tcBorders>
            <w:shd w:val="clear" w:color="auto" w:fill="auto"/>
            <w:noWrap/>
            <w:vAlign w:val="bottom"/>
            <w:hideMark/>
          </w:tcPr>
          <w:p w14:paraId="6BDE4F8A"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Transportation and Material Moving</w:t>
            </w:r>
          </w:p>
        </w:tc>
      </w:tr>
      <w:tr w:rsidR="00FE78BD" w:rsidRPr="00FE78BD" w14:paraId="788501BC" w14:textId="77777777" w:rsidTr="00FE78BD">
        <w:trPr>
          <w:trHeight w:val="300"/>
          <w:tblHeader/>
        </w:trPr>
        <w:tc>
          <w:tcPr>
            <w:tcW w:w="1540" w:type="dxa"/>
            <w:tcBorders>
              <w:top w:val="nil"/>
              <w:left w:val="nil"/>
              <w:bottom w:val="nil"/>
              <w:right w:val="nil"/>
            </w:tcBorders>
            <w:shd w:val="clear" w:color="auto" w:fill="auto"/>
            <w:noWrap/>
            <w:vAlign w:val="bottom"/>
            <w:hideMark/>
          </w:tcPr>
          <w:p w14:paraId="3406EBAB"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088BDC09"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Military Specific</w:t>
            </w:r>
          </w:p>
        </w:tc>
      </w:tr>
      <w:tr w:rsidR="00FE78BD" w:rsidRPr="00FE78BD" w14:paraId="1853A768" w14:textId="77777777" w:rsidTr="00FE78BD">
        <w:trPr>
          <w:trHeight w:val="300"/>
          <w:tblHeader/>
        </w:trPr>
        <w:tc>
          <w:tcPr>
            <w:tcW w:w="1540" w:type="dxa"/>
            <w:tcBorders>
              <w:top w:val="nil"/>
              <w:left w:val="nil"/>
              <w:bottom w:val="nil"/>
              <w:right w:val="nil"/>
            </w:tcBorders>
            <w:shd w:val="clear" w:color="auto" w:fill="auto"/>
            <w:noWrap/>
            <w:vAlign w:val="bottom"/>
            <w:hideMark/>
          </w:tcPr>
          <w:p w14:paraId="21A0798B" w14:textId="77777777" w:rsidR="00FE78BD" w:rsidRPr="00FE78BD" w:rsidRDefault="00FE78BD" w:rsidP="00FE78BD">
            <w:pPr>
              <w:spacing w:after="0" w:line="240" w:lineRule="auto"/>
              <w:jc w:val="right"/>
              <w:rPr>
                <w:rFonts w:ascii="Times New Roman" w:eastAsia="Times New Roman" w:hAnsi="Times New Roman" w:cs="Times New Roman"/>
                <w:color w:val="000000"/>
              </w:rPr>
            </w:pPr>
            <w:r w:rsidRPr="00FE78BD">
              <w:rPr>
                <w:rFonts w:ascii="Times New Roman" w:eastAsia="Times New Roman" w:hAnsi="Times New Roman" w:cs="Times New Roman"/>
                <w:color w:val="000000"/>
              </w:rPr>
              <w:t>1310</w:t>
            </w:r>
          </w:p>
        </w:tc>
        <w:tc>
          <w:tcPr>
            <w:tcW w:w="6660" w:type="dxa"/>
            <w:tcBorders>
              <w:top w:val="nil"/>
              <w:left w:val="nil"/>
              <w:bottom w:val="nil"/>
              <w:right w:val="nil"/>
            </w:tcBorders>
            <w:shd w:val="clear" w:color="auto" w:fill="auto"/>
            <w:noWrap/>
            <w:vAlign w:val="bottom"/>
            <w:hideMark/>
          </w:tcPr>
          <w:p w14:paraId="246380DF" w14:textId="77777777" w:rsidR="00FE78BD" w:rsidRPr="00FE78BD" w:rsidRDefault="00FE78BD" w:rsidP="00FE78BD">
            <w:pPr>
              <w:spacing w:after="0" w:line="240" w:lineRule="auto"/>
              <w:rPr>
                <w:rFonts w:ascii="Times New Roman" w:eastAsia="Times New Roman" w:hAnsi="Times New Roman" w:cs="Times New Roman"/>
                <w:color w:val="000000"/>
              </w:rPr>
            </w:pPr>
            <w:r w:rsidRPr="00FE78BD">
              <w:rPr>
                <w:rFonts w:ascii="Times New Roman" w:eastAsia="Times New Roman" w:hAnsi="Times New Roman" w:cs="Times New Roman"/>
                <w:color w:val="000000"/>
              </w:rPr>
              <w:t>Total</w:t>
            </w:r>
          </w:p>
        </w:tc>
      </w:tr>
    </w:tbl>
    <w:p w14:paraId="4182A2CC" w14:textId="77777777" w:rsidR="00346FB6" w:rsidRDefault="00346FB6" w:rsidP="00F95777">
      <w:pPr>
        <w:jc w:val="both"/>
        <w:rPr>
          <w:rFonts w:ascii="Times New Roman" w:hAnsi="Times New Roman" w:cs="Times New Roman"/>
        </w:rPr>
      </w:pPr>
    </w:p>
    <w:p w14:paraId="4BAC340A" w14:textId="01F64C32" w:rsidR="003110C1" w:rsidRPr="003110C1" w:rsidRDefault="003110C1" w:rsidP="00F95777">
      <w:pPr>
        <w:jc w:val="both"/>
        <w:rPr>
          <w:rFonts w:ascii="Times New Roman" w:hAnsi="Times New Roman" w:cs="Times New Roman"/>
        </w:rPr>
      </w:pPr>
      <w:r w:rsidRPr="000463F8">
        <w:rPr>
          <w:rStyle w:val="Heading4Char"/>
          <w:rFonts w:ascii="Times New Roman" w:hAnsi="Times New Roman" w:cs="Times New Roman"/>
        </w:rPr>
        <w:t>Spring 2019</w:t>
      </w:r>
      <w:r w:rsidR="00346FB6" w:rsidRPr="000463F8">
        <w:rPr>
          <w:rStyle w:val="Heading4Char"/>
          <w:rFonts w:ascii="Times New Roman" w:hAnsi="Times New Roman" w:cs="Times New Roman"/>
        </w:rPr>
        <w:t xml:space="preserve"> </w:t>
      </w:r>
      <w:r w:rsidR="00346FB6">
        <w:rPr>
          <w:rFonts w:ascii="Times New Roman" w:hAnsi="Times New Roman" w:cs="Times New Roman"/>
        </w:rPr>
        <w:t>– The Spring wave began in May</w:t>
      </w:r>
      <w:r w:rsidR="00235B32">
        <w:rPr>
          <w:rFonts w:ascii="Times New Roman" w:hAnsi="Times New Roman" w:cs="Times New Roman"/>
        </w:rPr>
        <w:t xml:space="preserve"> and ended in August</w:t>
      </w:r>
      <w:r w:rsidR="00346FB6">
        <w:rPr>
          <w:rFonts w:ascii="Times New Roman" w:hAnsi="Times New Roman" w:cs="Times New Roman"/>
        </w:rPr>
        <w:t>.  We only made small changes in the questionnaire.  We</w:t>
      </w:r>
      <w:r w:rsidR="0071441F">
        <w:rPr>
          <w:rFonts w:ascii="Times New Roman" w:hAnsi="Times New Roman" w:cs="Times New Roman"/>
        </w:rPr>
        <w:t xml:space="preserve"> asked all respondents who were working in the last week how many employers they had and</w:t>
      </w:r>
      <w:r w:rsidR="00322BE9">
        <w:rPr>
          <w:rFonts w:ascii="Times New Roman" w:hAnsi="Times New Roman" w:cs="Times New Roman"/>
        </w:rPr>
        <w:t xml:space="preserve">, for those working for more than one employer, </w:t>
      </w:r>
      <w:r w:rsidR="00346FB6">
        <w:rPr>
          <w:rFonts w:ascii="Times New Roman" w:hAnsi="Times New Roman" w:cs="Times New Roman"/>
        </w:rPr>
        <w:t xml:space="preserve"> </w:t>
      </w:r>
      <w:r w:rsidR="00322BE9">
        <w:rPr>
          <w:rFonts w:ascii="Times New Roman" w:hAnsi="Times New Roman" w:cs="Times New Roman"/>
        </w:rPr>
        <w:t>asked</w:t>
      </w:r>
      <w:r w:rsidR="00346FB6">
        <w:rPr>
          <w:rFonts w:ascii="Times New Roman" w:hAnsi="Times New Roman" w:cs="Times New Roman"/>
        </w:rPr>
        <w:t xml:space="preserve"> how many hours the respondent worked at all jobs taken together</w:t>
      </w:r>
      <w:r w:rsidR="00322BE9">
        <w:rPr>
          <w:rFonts w:ascii="Times New Roman" w:hAnsi="Times New Roman" w:cs="Times New Roman"/>
        </w:rPr>
        <w:t>.  We</w:t>
      </w:r>
      <w:r w:rsidR="00346FB6">
        <w:rPr>
          <w:rFonts w:ascii="Times New Roman" w:hAnsi="Times New Roman" w:cs="Times New Roman"/>
        </w:rPr>
        <w:t xml:space="preserve"> did not offer a McDonald’s gift card</w:t>
      </w:r>
      <w:r w:rsidR="00322BE9">
        <w:rPr>
          <w:rFonts w:ascii="Times New Roman" w:hAnsi="Times New Roman" w:cs="Times New Roman"/>
        </w:rPr>
        <w:t xml:space="preserve"> as that</w:t>
      </w:r>
      <w:r w:rsidR="00346FB6">
        <w:rPr>
          <w:rFonts w:ascii="Times New Roman" w:hAnsi="Times New Roman" w:cs="Times New Roman"/>
        </w:rPr>
        <w:t xml:space="preserve"> card was difficult to procure and only </w:t>
      </w:r>
      <w:r w:rsidR="00322BE9">
        <w:rPr>
          <w:rFonts w:ascii="Times New Roman" w:hAnsi="Times New Roman" w:cs="Times New Roman"/>
        </w:rPr>
        <w:t>10% of respondents requested it</w:t>
      </w:r>
      <w:r w:rsidR="009F35CC">
        <w:rPr>
          <w:rFonts w:ascii="Times New Roman" w:hAnsi="Times New Roman" w:cs="Times New Roman"/>
        </w:rPr>
        <w:t>.</w:t>
      </w:r>
      <w:r w:rsidR="00346FB6">
        <w:rPr>
          <w:rFonts w:ascii="Times New Roman" w:hAnsi="Times New Roman" w:cs="Times New Roman"/>
        </w:rPr>
        <w:t xml:space="preserve">  </w:t>
      </w:r>
    </w:p>
    <w:p w14:paraId="06DDC236" w14:textId="77777777" w:rsidR="009E69B4" w:rsidRDefault="009E69B4">
      <w:pPr>
        <w:rPr>
          <w:rFonts w:ascii="Times New Roman" w:hAnsi="Times New Roman" w:cs="Times New Roman"/>
        </w:rPr>
      </w:pPr>
      <w:r>
        <w:rPr>
          <w:rFonts w:ascii="Times New Roman" w:hAnsi="Times New Roman" w:cs="Times New Roman"/>
        </w:rPr>
        <w:br w:type="page"/>
      </w:r>
    </w:p>
    <w:p w14:paraId="6E5B228D" w14:textId="1303764A" w:rsidR="007D63B1" w:rsidRPr="007D63B1" w:rsidRDefault="007D63B1" w:rsidP="00F95777">
      <w:pPr>
        <w:spacing w:after="0"/>
        <w:jc w:val="center"/>
        <w:rPr>
          <w:rFonts w:ascii="Times New Roman" w:hAnsi="Times New Roman" w:cs="Times New Roman"/>
        </w:rPr>
      </w:pPr>
      <w:r w:rsidRPr="007D63B1">
        <w:rPr>
          <w:rFonts w:ascii="Times New Roman" w:hAnsi="Times New Roman" w:cs="Times New Roman"/>
        </w:rPr>
        <w:lastRenderedPageBreak/>
        <w:t>Table 5</w:t>
      </w:r>
    </w:p>
    <w:p w14:paraId="39496685" w14:textId="691457B9" w:rsidR="007D63B1" w:rsidRDefault="007D63B1" w:rsidP="00F95777">
      <w:pPr>
        <w:spacing w:after="0"/>
        <w:jc w:val="center"/>
        <w:rPr>
          <w:rFonts w:ascii="Times New Roman" w:hAnsi="Times New Roman" w:cs="Times New Roman"/>
        </w:rPr>
      </w:pPr>
      <w:r w:rsidRPr="007D63B1">
        <w:rPr>
          <w:rFonts w:ascii="Times New Roman" w:hAnsi="Times New Roman" w:cs="Times New Roman"/>
        </w:rPr>
        <w:t>Wave 2 Survey Occupation of CCMEP Respondents</w:t>
      </w:r>
    </w:p>
    <w:tbl>
      <w:tblPr>
        <w:tblW w:w="8200" w:type="dxa"/>
        <w:tblLook w:val="04A0" w:firstRow="1" w:lastRow="0" w:firstColumn="1" w:lastColumn="0" w:noHBand="0" w:noVBand="1"/>
      </w:tblPr>
      <w:tblGrid>
        <w:gridCol w:w="1540"/>
        <w:gridCol w:w="6660"/>
      </w:tblGrid>
      <w:tr w:rsidR="009E69B4" w:rsidRPr="009E69B4" w14:paraId="3D630295" w14:textId="77777777" w:rsidTr="009E69B4">
        <w:trPr>
          <w:trHeight w:val="300"/>
        </w:trPr>
        <w:tc>
          <w:tcPr>
            <w:tcW w:w="1540" w:type="dxa"/>
            <w:tcBorders>
              <w:top w:val="nil"/>
              <w:left w:val="nil"/>
              <w:bottom w:val="nil"/>
              <w:right w:val="nil"/>
            </w:tcBorders>
            <w:shd w:val="clear" w:color="auto" w:fill="auto"/>
            <w:noWrap/>
            <w:vAlign w:val="bottom"/>
            <w:hideMark/>
          </w:tcPr>
          <w:p w14:paraId="12BA8565"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Count</w:t>
            </w:r>
          </w:p>
        </w:tc>
        <w:tc>
          <w:tcPr>
            <w:tcW w:w="6660" w:type="dxa"/>
            <w:tcBorders>
              <w:top w:val="nil"/>
              <w:left w:val="nil"/>
              <w:bottom w:val="nil"/>
              <w:right w:val="nil"/>
            </w:tcBorders>
            <w:shd w:val="clear" w:color="auto" w:fill="auto"/>
            <w:noWrap/>
            <w:vAlign w:val="bottom"/>
            <w:hideMark/>
          </w:tcPr>
          <w:p w14:paraId="189C407F"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Cell Description</w:t>
            </w:r>
          </w:p>
        </w:tc>
      </w:tr>
      <w:tr w:rsidR="009E69B4" w:rsidRPr="009E69B4" w14:paraId="4ECEF086" w14:textId="77777777" w:rsidTr="009E69B4">
        <w:trPr>
          <w:trHeight w:val="300"/>
        </w:trPr>
        <w:tc>
          <w:tcPr>
            <w:tcW w:w="1540" w:type="dxa"/>
            <w:tcBorders>
              <w:top w:val="nil"/>
              <w:left w:val="nil"/>
              <w:bottom w:val="nil"/>
              <w:right w:val="nil"/>
            </w:tcBorders>
            <w:shd w:val="clear" w:color="auto" w:fill="auto"/>
            <w:noWrap/>
            <w:vAlign w:val="bottom"/>
            <w:hideMark/>
          </w:tcPr>
          <w:p w14:paraId="1A66DBAF"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77067BF9"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Management</w:t>
            </w:r>
          </w:p>
        </w:tc>
      </w:tr>
      <w:tr w:rsidR="009E69B4" w:rsidRPr="009E69B4" w14:paraId="104E62D6" w14:textId="77777777" w:rsidTr="009E69B4">
        <w:trPr>
          <w:trHeight w:val="300"/>
        </w:trPr>
        <w:tc>
          <w:tcPr>
            <w:tcW w:w="1540" w:type="dxa"/>
            <w:tcBorders>
              <w:top w:val="nil"/>
              <w:left w:val="nil"/>
              <w:bottom w:val="nil"/>
              <w:right w:val="nil"/>
            </w:tcBorders>
            <w:shd w:val="clear" w:color="auto" w:fill="auto"/>
            <w:noWrap/>
            <w:vAlign w:val="bottom"/>
            <w:hideMark/>
          </w:tcPr>
          <w:p w14:paraId="73EE2243"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11A55F86"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Business and Financial Operations</w:t>
            </w:r>
          </w:p>
        </w:tc>
      </w:tr>
      <w:tr w:rsidR="009E69B4" w:rsidRPr="009E69B4" w14:paraId="3696F375" w14:textId="77777777" w:rsidTr="009E69B4">
        <w:trPr>
          <w:trHeight w:val="300"/>
        </w:trPr>
        <w:tc>
          <w:tcPr>
            <w:tcW w:w="1540" w:type="dxa"/>
            <w:tcBorders>
              <w:top w:val="nil"/>
              <w:left w:val="nil"/>
              <w:bottom w:val="nil"/>
              <w:right w:val="nil"/>
            </w:tcBorders>
            <w:shd w:val="clear" w:color="auto" w:fill="auto"/>
            <w:noWrap/>
            <w:vAlign w:val="bottom"/>
            <w:hideMark/>
          </w:tcPr>
          <w:p w14:paraId="2A326656"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6A8CCCBA"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Computer and Mathematical</w:t>
            </w:r>
          </w:p>
        </w:tc>
      </w:tr>
      <w:tr w:rsidR="009E69B4" w:rsidRPr="009E69B4" w14:paraId="39EE0FF6" w14:textId="77777777" w:rsidTr="009E69B4">
        <w:trPr>
          <w:trHeight w:val="300"/>
        </w:trPr>
        <w:tc>
          <w:tcPr>
            <w:tcW w:w="1540" w:type="dxa"/>
            <w:tcBorders>
              <w:top w:val="nil"/>
              <w:left w:val="nil"/>
              <w:bottom w:val="nil"/>
              <w:right w:val="nil"/>
            </w:tcBorders>
            <w:shd w:val="clear" w:color="auto" w:fill="auto"/>
            <w:noWrap/>
            <w:vAlign w:val="bottom"/>
            <w:hideMark/>
          </w:tcPr>
          <w:p w14:paraId="58069AF5"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10737F79"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Architecture and Engineering Occupations</w:t>
            </w:r>
          </w:p>
        </w:tc>
      </w:tr>
      <w:tr w:rsidR="009E69B4" w:rsidRPr="009E69B4" w14:paraId="65012D82" w14:textId="77777777" w:rsidTr="009E69B4">
        <w:trPr>
          <w:trHeight w:val="300"/>
        </w:trPr>
        <w:tc>
          <w:tcPr>
            <w:tcW w:w="1540" w:type="dxa"/>
            <w:tcBorders>
              <w:top w:val="nil"/>
              <w:left w:val="nil"/>
              <w:bottom w:val="nil"/>
              <w:right w:val="nil"/>
            </w:tcBorders>
            <w:shd w:val="clear" w:color="auto" w:fill="auto"/>
            <w:noWrap/>
            <w:vAlign w:val="bottom"/>
            <w:hideMark/>
          </w:tcPr>
          <w:p w14:paraId="7CE72362"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4A4570B2"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Life, Physical and Social Science</w:t>
            </w:r>
          </w:p>
        </w:tc>
      </w:tr>
      <w:tr w:rsidR="009E69B4" w:rsidRPr="009E69B4" w14:paraId="2E557BDD" w14:textId="77777777" w:rsidTr="009E69B4">
        <w:trPr>
          <w:trHeight w:val="300"/>
        </w:trPr>
        <w:tc>
          <w:tcPr>
            <w:tcW w:w="1540" w:type="dxa"/>
            <w:tcBorders>
              <w:top w:val="nil"/>
              <w:left w:val="nil"/>
              <w:bottom w:val="nil"/>
              <w:right w:val="nil"/>
            </w:tcBorders>
            <w:shd w:val="clear" w:color="auto" w:fill="auto"/>
            <w:noWrap/>
            <w:vAlign w:val="bottom"/>
            <w:hideMark/>
          </w:tcPr>
          <w:p w14:paraId="793BD40D"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13</w:t>
            </w:r>
          </w:p>
        </w:tc>
        <w:tc>
          <w:tcPr>
            <w:tcW w:w="6660" w:type="dxa"/>
            <w:tcBorders>
              <w:top w:val="nil"/>
              <w:left w:val="nil"/>
              <w:bottom w:val="nil"/>
              <w:right w:val="nil"/>
            </w:tcBorders>
            <w:shd w:val="clear" w:color="auto" w:fill="auto"/>
            <w:noWrap/>
            <w:vAlign w:val="bottom"/>
            <w:hideMark/>
          </w:tcPr>
          <w:p w14:paraId="0742F248"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Community and Social Service</w:t>
            </w:r>
          </w:p>
        </w:tc>
      </w:tr>
      <w:tr w:rsidR="009E69B4" w:rsidRPr="009E69B4" w14:paraId="73D16882" w14:textId="77777777" w:rsidTr="009E69B4">
        <w:trPr>
          <w:trHeight w:val="300"/>
        </w:trPr>
        <w:tc>
          <w:tcPr>
            <w:tcW w:w="1540" w:type="dxa"/>
            <w:tcBorders>
              <w:top w:val="nil"/>
              <w:left w:val="nil"/>
              <w:bottom w:val="nil"/>
              <w:right w:val="nil"/>
            </w:tcBorders>
            <w:shd w:val="clear" w:color="auto" w:fill="auto"/>
            <w:noWrap/>
            <w:vAlign w:val="bottom"/>
            <w:hideMark/>
          </w:tcPr>
          <w:p w14:paraId="207DA09C"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0E87338D"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Legal</w:t>
            </w:r>
          </w:p>
        </w:tc>
      </w:tr>
      <w:tr w:rsidR="009E69B4" w:rsidRPr="009E69B4" w14:paraId="556D50A4" w14:textId="77777777" w:rsidTr="009E69B4">
        <w:trPr>
          <w:trHeight w:val="300"/>
        </w:trPr>
        <w:tc>
          <w:tcPr>
            <w:tcW w:w="1540" w:type="dxa"/>
            <w:tcBorders>
              <w:top w:val="nil"/>
              <w:left w:val="nil"/>
              <w:bottom w:val="nil"/>
              <w:right w:val="nil"/>
            </w:tcBorders>
            <w:shd w:val="clear" w:color="auto" w:fill="auto"/>
            <w:noWrap/>
            <w:vAlign w:val="bottom"/>
            <w:hideMark/>
          </w:tcPr>
          <w:p w14:paraId="43A33D96"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24</w:t>
            </w:r>
          </w:p>
        </w:tc>
        <w:tc>
          <w:tcPr>
            <w:tcW w:w="6660" w:type="dxa"/>
            <w:tcBorders>
              <w:top w:val="nil"/>
              <w:left w:val="nil"/>
              <w:bottom w:val="nil"/>
              <w:right w:val="nil"/>
            </w:tcBorders>
            <w:shd w:val="clear" w:color="auto" w:fill="auto"/>
            <w:noWrap/>
            <w:vAlign w:val="bottom"/>
            <w:hideMark/>
          </w:tcPr>
          <w:p w14:paraId="687E6ECB"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Education, Training and Library</w:t>
            </w:r>
          </w:p>
        </w:tc>
      </w:tr>
      <w:tr w:rsidR="009E69B4" w:rsidRPr="009E69B4" w14:paraId="1B429E82" w14:textId="77777777" w:rsidTr="009E69B4">
        <w:trPr>
          <w:trHeight w:val="300"/>
        </w:trPr>
        <w:tc>
          <w:tcPr>
            <w:tcW w:w="1540" w:type="dxa"/>
            <w:tcBorders>
              <w:top w:val="nil"/>
              <w:left w:val="nil"/>
              <w:bottom w:val="nil"/>
              <w:right w:val="nil"/>
            </w:tcBorders>
            <w:shd w:val="clear" w:color="auto" w:fill="auto"/>
            <w:noWrap/>
            <w:vAlign w:val="bottom"/>
            <w:hideMark/>
          </w:tcPr>
          <w:p w14:paraId="5DBB76D2"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7BCA4EEC"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Arts, Design, Entertainment, Sports and Media</w:t>
            </w:r>
          </w:p>
        </w:tc>
      </w:tr>
      <w:tr w:rsidR="009E69B4" w:rsidRPr="009E69B4" w14:paraId="48E30F30" w14:textId="77777777" w:rsidTr="009E69B4">
        <w:trPr>
          <w:trHeight w:val="300"/>
        </w:trPr>
        <w:tc>
          <w:tcPr>
            <w:tcW w:w="1540" w:type="dxa"/>
            <w:tcBorders>
              <w:top w:val="nil"/>
              <w:left w:val="nil"/>
              <w:bottom w:val="nil"/>
              <w:right w:val="nil"/>
            </w:tcBorders>
            <w:shd w:val="clear" w:color="auto" w:fill="auto"/>
            <w:noWrap/>
            <w:vAlign w:val="bottom"/>
            <w:hideMark/>
          </w:tcPr>
          <w:p w14:paraId="65C7B4EB"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28</w:t>
            </w:r>
          </w:p>
        </w:tc>
        <w:tc>
          <w:tcPr>
            <w:tcW w:w="6660" w:type="dxa"/>
            <w:tcBorders>
              <w:top w:val="nil"/>
              <w:left w:val="nil"/>
              <w:bottom w:val="nil"/>
              <w:right w:val="nil"/>
            </w:tcBorders>
            <w:shd w:val="clear" w:color="auto" w:fill="auto"/>
            <w:noWrap/>
            <w:vAlign w:val="bottom"/>
            <w:hideMark/>
          </w:tcPr>
          <w:p w14:paraId="39749774"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Healthcare Practitioners and Technical</w:t>
            </w:r>
          </w:p>
        </w:tc>
      </w:tr>
      <w:tr w:rsidR="009E69B4" w:rsidRPr="009E69B4" w14:paraId="0A71316B" w14:textId="77777777" w:rsidTr="009E69B4">
        <w:trPr>
          <w:trHeight w:val="300"/>
        </w:trPr>
        <w:tc>
          <w:tcPr>
            <w:tcW w:w="1540" w:type="dxa"/>
            <w:tcBorders>
              <w:top w:val="nil"/>
              <w:left w:val="nil"/>
              <w:bottom w:val="nil"/>
              <w:right w:val="nil"/>
            </w:tcBorders>
            <w:shd w:val="clear" w:color="auto" w:fill="auto"/>
            <w:noWrap/>
            <w:vAlign w:val="bottom"/>
            <w:hideMark/>
          </w:tcPr>
          <w:p w14:paraId="49CA7A4E"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77</w:t>
            </w:r>
          </w:p>
        </w:tc>
        <w:tc>
          <w:tcPr>
            <w:tcW w:w="6660" w:type="dxa"/>
            <w:tcBorders>
              <w:top w:val="nil"/>
              <w:left w:val="nil"/>
              <w:bottom w:val="nil"/>
              <w:right w:val="nil"/>
            </w:tcBorders>
            <w:shd w:val="clear" w:color="auto" w:fill="auto"/>
            <w:noWrap/>
            <w:vAlign w:val="bottom"/>
            <w:hideMark/>
          </w:tcPr>
          <w:p w14:paraId="77C2E251"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Healthcare Support</w:t>
            </w:r>
          </w:p>
        </w:tc>
      </w:tr>
      <w:tr w:rsidR="009E69B4" w:rsidRPr="009E69B4" w14:paraId="40A526B2" w14:textId="77777777" w:rsidTr="009E69B4">
        <w:trPr>
          <w:trHeight w:val="300"/>
        </w:trPr>
        <w:tc>
          <w:tcPr>
            <w:tcW w:w="1540" w:type="dxa"/>
            <w:tcBorders>
              <w:top w:val="nil"/>
              <w:left w:val="nil"/>
              <w:bottom w:val="nil"/>
              <w:right w:val="nil"/>
            </w:tcBorders>
            <w:shd w:val="clear" w:color="auto" w:fill="auto"/>
            <w:noWrap/>
            <w:vAlign w:val="bottom"/>
            <w:hideMark/>
          </w:tcPr>
          <w:p w14:paraId="3381903E"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11</w:t>
            </w:r>
          </w:p>
        </w:tc>
        <w:tc>
          <w:tcPr>
            <w:tcW w:w="6660" w:type="dxa"/>
            <w:tcBorders>
              <w:top w:val="nil"/>
              <w:left w:val="nil"/>
              <w:bottom w:val="nil"/>
              <w:right w:val="nil"/>
            </w:tcBorders>
            <w:shd w:val="clear" w:color="auto" w:fill="auto"/>
            <w:noWrap/>
            <w:vAlign w:val="bottom"/>
            <w:hideMark/>
          </w:tcPr>
          <w:p w14:paraId="0C87611C"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Protective Service</w:t>
            </w:r>
          </w:p>
        </w:tc>
      </w:tr>
      <w:tr w:rsidR="009E69B4" w:rsidRPr="009E69B4" w14:paraId="256383CB" w14:textId="77777777" w:rsidTr="009E69B4">
        <w:trPr>
          <w:trHeight w:val="300"/>
        </w:trPr>
        <w:tc>
          <w:tcPr>
            <w:tcW w:w="1540" w:type="dxa"/>
            <w:tcBorders>
              <w:top w:val="nil"/>
              <w:left w:val="nil"/>
              <w:bottom w:val="nil"/>
              <w:right w:val="nil"/>
            </w:tcBorders>
            <w:shd w:val="clear" w:color="auto" w:fill="auto"/>
            <w:noWrap/>
            <w:vAlign w:val="bottom"/>
            <w:hideMark/>
          </w:tcPr>
          <w:p w14:paraId="1ACA44FF"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177</w:t>
            </w:r>
          </w:p>
        </w:tc>
        <w:tc>
          <w:tcPr>
            <w:tcW w:w="6660" w:type="dxa"/>
            <w:tcBorders>
              <w:top w:val="nil"/>
              <w:left w:val="nil"/>
              <w:bottom w:val="nil"/>
              <w:right w:val="nil"/>
            </w:tcBorders>
            <w:shd w:val="clear" w:color="auto" w:fill="auto"/>
            <w:noWrap/>
            <w:vAlign w:val="bottom"/>
            <w:hideMark/>
          </w:tcPr>
          <w:p w14:paraId="5CC5A54E"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Food Preparation and Serving</w:t>
            </w:r>
          </w:p>
        </w:tc>
      </w:tr>
      <w:tr w:rsidR="009E69B4" w:rsidRPr="009E69B4" w14:paraId="66B8D2CC" w14:textId="77777777" w:rsidTr="009E69B4">
        <w:trPr>
          <w:trHeight w:val="300"/>
        </w:trPr>
        <w:tc>
          <w:tcPr>
            <w:tcW w:w="1540" w:type="dxa"/>
            <w:tcBorders>
              <w:top w:val="nil"/>
              <w:left w:val="nil"/>
              <w:bottom w:val="nil"/>
              <w:right w:val="nil"/>
            </w:tcBorders>
            <w:shd w:val="clear" w:color="auto" w:fill="auto"/>
            <w:noWrap/>
            <w:vAlign w:val="bottom"/>
            <w:hideMark/>
          </w:tcPr>
          <w:p w14:paraId="75C3D025"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96</w:t>
            </w:r>
          </w:p>
        </w:tc>
        <w:tc>
          <w:tcPr>
            <w:tcW w:w="6660" w:type="dxa"/>
            <w:tcBorders>
              <w:top w:val="nil"/>
              <w:left w:val="nil"/>
              <w:bottom w:val="nil"/>
              <w:right w:val="nil"/>
            </w:tcBorders>
            <w:shd w:val="clear" w:color="auto" w:fill="auto"/>
            <w:noWrap/>
            <w:vAlign w:val="bottom"/>
            <w:hideMark/>
          </w:tcPr>
          <w:p w14:paraId="74150DA1"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Building and Grounds Cleaning and Maintenance</w:t>
            </w:r>
          </w:p>
        </w:tc>
      </w:tr>
      <w:tr w:rsidR="009E69B4" w:rsidRPr="009E69B4" w14:paraId="39985B4B" w14:textId="77777777" w:rsidTr="009E69B4">
        <w:trPr>
          <w:trHeight w:val="300"/>
        </w:trPr>
        <w:tc>
          <w:tcPr>
            <w:tcW w:w="1540" w:type="dxa"/>
            <w:tcBorders>
              <w:top w:val="nil"/>
              <w:left w:val="nil"/>
              <w:bottom w:val="nil"/>
              <w:right w:val="nil"/>
            </w:tcBorders>
            <w:shd w:val="clear" w:color="auto" w:fill="auto"/>
            <w:noWrap/>
            <w:vAlign w:val="bottom"/>
            <w:hideMark/>
          </w:tcPr>
          <w:p w14:paraId="5B7BB8F2"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80</w:t>
            </w:r>
          </w:p>
        </w:tc>
        <w:tc>
          <w:tcPr>
            <w:tcW w:w="6660" w:type="dxa"/>
            <w:tcBorders>
              <w:top w:val="nil"/>
              <w:left w:val="nil"/>
              <w:bottom w:val="nil"/>
              <w:right w:val="nil"/>
            </w:tcBorders>
            <w:shd w:val="clear" w:color="auto" w:fill="auto"/>
            <w:noWrap/>
            <w:vAlign w:val="bottom"/>
            <w:hideMark/>
          </w:tcPr>
          <w:p w14:paraId="3472F7C7"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Personal Care and Service</w:t>
            </w:r>
          </w:p>
        </w:tc>
      </w:tr>
      <w:tr w:rsidR="009E69B4" w:rsidRPr="009E69B4" w14:paraId="16A64F3B" w14:textId="77777777" w:rsidTr="009E69B4">
        <w:trPr>
          <w:trHeight w:val="300"/>
        </w:trPr>
        <w:tc>
          <w:tcPr>
            <w:tcW w:w="1540" w:type="dxa"/>
            <w:tcBorders>
              <w:top w:val="nil"/>
              <w:left w:val="nil"/>
              <w:bottom w:val="nil"/>
              <w:right w:val="nil"/>
            </w:tcBorders>
            <w:shd w:val="clear" w:color="auto" w:fill="auto"/>
            <w:noWrap/>
            <w:vAlign w:val="bottom"/>
            <w:hideMark/>
          </w:tcPr>
          <w:p w14:paraId="24F32975"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90</w:t>
            </w:r>
          </w:p>
        </w:tc>
        <w:tc>
          <w:tcPr>
            <w:tcW w:w="6660" w:type="dxa"/>
            <w:tcBorders>
              <w:top w:val="nil"/>
              <w:left w:val="nil"/>
              <w:bottom w:val="nil"/>
              <w:right w:val="nil"/>
            </w:tcBorders>
            <w:shd w:val="clear" w:color="auto" w:fill="auto"/>
            <w:noWrap/>
            <w:vAlign w:val="bottom"/>
            <w:hideMark/>
          </w:tcPr>
          <w:p w14:paraId="1F8A45D9"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Sales and Related</w:t>
            </w:r>
          </w:p>
        </w:tc>
      </w:tr>
      <w:tr w:rsidR="009E69B4" w:rsidRPr="009E69B4" w14:paraId="555C2229" w14:textId="77777777" w:rsidTr="009E69B4">
        <w:trPr>
          <w:trHeight w:val="300"/>
        </w:trPr>
        <w:tc>
          <w:tcPr>
            <w:tcW w:w="1540" w:type="dxa"/>
            <w:tcBorders>
              <w:top w:val="nil"/>
              <w:left w:val="nil"/>
              <w:bottom w:val="nil"/>
              <w:right w:val="nil"/>
            </w:tcBorders>
            <w:shd w:val="clear" w:color="auto" w:fill="auto"/>
            <w:noWrap/>
            <w:vAlign w:val="bottom"/>
            <w:hideMark/>
          </w:tcPr>
          <w:p w14:paraId="053A4329"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115</w:t>
            </w:r>
          </w:p>
        </w:tc>
        <w:tc>
          <w:tcPr>
            <w:tcW w:w="6660" w:type="dxa"/>
            <w:tcBorders>
              <w:top w:val="nil"/>
              <w:left w:val="nil"/>
              <w:bottom w:val="nil"/>
              <w:right w:val="nil"/>
            </w:tcBorders>
            <w:shd w:val="clear" w:color="auto" w:fill="auto"/>
            <w:noWrap/>
            <w:vAlign w:val="bottom"/>
            <w:hideMark/>
          </w:tcPr>
          <w:p w14:paraId="272F1C44"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Office and Administrative Support</w:t>
            </w:r>
          </w:p>
        </w:tc>
      </w:tr>
      <w:tr w:rsidR="009E69B4" w:rsidRPr="009E69B4" w14:paraId="0312AD2B" w14:textId="77777777" w:rsidTr="009E69B4">
        <w:trPr>
          <w:trHeight w:val="300"/>
        </w:trPr>
        <w:tc>
          <w:tcPr>
            <w:tcW w:w="1540" w:type="dxa"/>
            <w:tcBorders>
              <w:top w:val="nil"/>
              <w:left w:val="nil"/>
              <w:bottom w:val="nil"/>
              <w:right w:val="nil"/>
            </w:tcBorders>
            <w:shd w:val="clear" w:color="auto" w:fill="auto"/>
            <w:noWrap/>
            <w:vAlign w:val="bottom"/>
            <w:hideMark/>
          </w:tcPr>
          <w:p w14:paraId="4A976758"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2D647CC0"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Farming, Fishing and Forestry</w:t>
            </w:r>
          </w:p>
        </w:tc>
      </w:tr>
      <w:tr w:rsidR="009E69B4" w:rsidRPr="009E69B4" w14:paraId="425038E3" w14:textId="77777777" w:rsidTr="009E69B4">
        <w:trPr>
          <w:trHeight w:val="300"/>
        </w:trPr>
        <w:tc>
          <w:tcPr>
            <w:tcW w:w="1540" w:type="dxa"/>
            <w:tcBorders>
              <w:top w:val="nil"/>
              <w:left w:val="nil"/>
              <w:bottom w:val="nil"/>
              <w:right w:val="nil"/>
            </w:tcBorders>
            <w:shd w:val="clear" w:color="auto" w:fill="auto"/>
            <w:noWrap/>
            <w:vAlign w:val="bottom"/>
            <w:hideMark/>
          </w:tcPr>
          <w:p w14:paraId="7E89EECF"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14</w:t>
            </w:r>
          </w:p>
        </w:tc>
        <w:tc>
          <w:tcPr>
            <w:tcW w:w="6660" w:type="dxa"/>
            <w:tcBorders>
              <w:top w:val="nil"/>
              <w:left w:val="nil"/>
              <w:bottom w:val="nil"/>
              <w:right w:val="nil"/>
            </w:tcBorders>
            <w:shd w:val="clear" w:color="auto" w:fill="auto"/>
            <w:noWrap/>
            <w:vAlign w:val="bottom"/>
            <w:hideMark/>
          </w:tcPr>
          <w:p w14:paraId="0C9B7124"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Construction and Extraction</w:t>
            </w:r>
          </w:p>
        </w:tc>
      </w:tr>
      <w:tr w:rsidR="009E69B4" w:rsidRPr="009E69B4" w14:paraId="2E07BBB0" w14:textId="77777777" w:rsidTr="009E69B4">
        <w:trPr>
          <w:trHeight w:val="300"/>
        </w:trPr>
        <w:tc>
          <w:tcPr>
            <w:tcW w:w="1540" w:type="dxa"/>
            <w:tcBorders>
              <w:top w:val="nil"/>
              <w:left w:val="nil"/>
              <w:bottom w:val="nil"/>
              <w:right w:val="nil"/>
            </w:tcBorders>
            <w:shd w:val="clear" w:color="auto" w:fill="auto"/>
            <w:noWrap/>
            <w:vAlign w:val="bottom"/>
            <w:hideMark/>
          </w:tcPr>
          <w:p w14:paraId="1AA328E5"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16</w:t>
            </w:r>
          </w:p>
        </w:tc>
        <w:tc>
          <w:tcPr>
            <w:tcW w:w="6660" w:type="dxa"/>
            <w:tcBorders>
              <w:top w:val="nil"/>
              <w:left w:val="nil"/>
              <w:bottom w:val="nil"/>
              <w:right w:val="nil"/>
            </w:tcBorders>
            <w:shd w:val="clear" w:color="auto" w:fill="auto"/>
            <w:noWrap/>
            <w:vAlign w:val="bottom"/>
            <w:hideMark/>
          </w:tcPr>
          <w:p w14:paraId="00649729"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Installation, Maintenance and Repair</w:t>
            </w:r>
          </w:p>
        </w:tc>
      </w:tr>
      <w:tr w:rsidR="009E69B4" w:rsidRPr="009E69B4" w14:paraId="7C01A221" w14:textId="77777777" w:rsidTr="009E69B4">
        <w:trPr>
          <w:trHeight w:val="300"/>
        </w:trPr>
        <w:tc>
          <w:tcPr>
            <w:tcW w:w="1540" w:type="dxa"/>
            <w:tcBorders>
              <w:top w:val="nil"/>
              <w:left w:val="nil"/>
              <w:bottom w:val="nil"/>
              <w:right w:val="nil"/>
            </w:tcBorders>
            <w:shd w:val="clear" w:color="auto" w:fill="auto"/>
            <w:noWrap/>
            <w:vAlign w:val="bottom"/>
            <w:hideMark/>
          </w:tcPr>
          <w:p w14:paraId="79B826D4"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45</w:t>
            </w:r>
          </w:p>
        </w:tc>
        <w:tc>
          <w:tcPr>
            <w:tcW w:w="6660" w:type="dxa"/>
            <w:tcBorders>
              <w:top w:val="nil"/>
              <w:left w:val="nil"/>
              <w:bottom w:val="nil"/>
              <w:right w:val="nil"/>
            </w:tcBorders>
            <w:shd w:val="clear" w:color="auto" w:fill="auto"/>
            <w:noWrap/>
            <w:vAlign w:val="bottom"/>
            <w:hideMark/>
          </w:tcPr>
          <w:p w14:paraId="28B67DB7"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Production</w:t>
            </w:r>
          </w:p>
        </w:tc>
      </w:tr>
      <w:tr w:rsidR="009E69B4" w:rsidRPr="009E69B4" w14:paraId="27525442" w14:textId="77777777" w:rsidTr="009E69B4">
        <w:trPr>
          <w:trHeight w:val="300"/>
        </w:trPr>
        <w:tc>
          <w:tcPr>
            <w:tcW w:w="1540" w:type="dxa"/>
            <w:tcBorders>
              <w:top w:val="nil"/>
              <w:left w:val="nil"/>
              <w:bottom w:val="nil"/>
              <w:right w:val="nil"/>
            </w:tcBorders>
            <w:shd w:val="clear" w:color="auto" w:fill="auto"/>
            <w:noWrap/>
            <w:vAlign w:val="bottom"/>
            <w:hideMark/>
          </w:tcPr>
          <w:p w14:paraId="65B5C538"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72</w:t>
            </w:r>
          </w:p>
        </w:tc>
        <w:tc>
          <w:tcPr>
            <w:tcW w:w="6660" w:type="dxa"/>
            <w:tcBorders>
              <w:top w:val="nil"/>
              <w:left w:val="nil"/>
              <w:bottom w:val="nil"/>
              <w:right w:val="nil"/>
            </w:tcBorders>
            <w:shd w:val="clear" w:color="auto" w:fill="auto"/>
            <w:noWrap/>
            <w:vAlign w:val="bottom"/>
            <w:hideMark/>
          </w:tcPr>
          <w:p w14:paraId="095BF1A7"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Transportation and Material Moving</w:t>
            </w:r>
          </w:p>
        </w:tc>
      </w:tr>
      <w:tr w:rsidR="009E69B4" w:rsidRPr="009E69B4" w14:paraId="03075AD0" w14:textId="77777777" w:rsidTr="009E69B4">
        <w:trPr>
          <w:trHeight w:val="300"/>
        </w:trPr>
        <w:tc>
          <w:tcPr>
            <w:tcW w:w="1540" w:type="dxa"/>
            <w:tcBorders>
              <w:top w:val="nil"/>
              <w:left w:val="nil"/>
              <w:bottom w:val="nil"/>
              <w:right w:val="nil"/>
            </w:tcBorders>
            <w:shd w:val="clear" w:color="auto" w:fill="auto"/>
            <w:noWrap/>
            <w:vAlign w:val="bottom"/>
            <w:hideMark/>
          </w:tcPr>
          <w:p w14:paraId="1C77317C"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suppressed</w:t>
            </w:r>
          </w:p>
        </w:tc>
        <w:tc>
          <w:tcPr>
            <w:tcW w:w="6660" w:type="dxa"/>
            <w:tcBorders>
              <w:top w:val="nil"/>
              <w:left w:val="nil"/>
              <w:bottom w:val="nil"/>
              <w:right w:val="nil"/>
            </w:tcBorders>
            <w:shd w:val="clear" w:color="auto" w:fill="auto"/>
            <w:noWrap/>
            <w:vAlign w:val="bottom"/>
            <w:hideMark/>
          </w:tcPr>
          <w:p w14:paraId="23B21CCB"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Military Specific</w:t>
            </w:r>
          </w:p>
        </w:tc>
      </w:tr>
      <w:tr w:rsidR="009E69B4" w:rsidRPr="009E69B4" w14:paraId="72127CE4" w14:textId="77777777" w:rsidTr="009E69B4">
        <w:trPr>
          <w:trHeight w:val="300"/>
        </w:trPr>
        <w:tc>
          <w:tcPr>
            <w:tcW w:w="1540" w:type="dxa"/>
            <w:tcBorders>
              <w:top w:val="nil"/>
              <w:left w:val="nil"/>
              <w:bottom w:val="nil"/>
              <w:right w:val="nil"/>
            </w:tcBorders>
            <w:shd w:val="clear" w:color="auto" w:fill="auto"/>
            <w:noWrap/>
            <w:vAlign w:val="bottom"/>
            <w:hideMark/>
          </w:tcPr>
          <w:p w14:paraId="4C33807B" w14:textId="77777777" w:rsidR="009E69B4" w:rsidRPr="009E69B4" w:rsidRDefault="009E69B4" w:rsidP="009E69B4">
            <w:pPr>
              <w:spacing w:after="0" w:line="240" w:lineRule="auto"/>
              <w:jc w:val="right"/>
              <w:rPr>
                <w:rFonts w:ascii="Times New Roman" w:eastAsia="Times New Roman" w:hAnsi="Times New Roman" w:cs="Times New Roman"/>
                <w:color w:val="000000"/>
              </w:rPr>
            </w:pPr>
            <w:r w:rsidRPr="009E69B4">
              <w:rPr>
                <w:rFonts w:ascii="Times New Roman" w:eastAsia="Times New Roman" w:hAnsi="Times New Roman" w:cs="Times New Roman"/>
                <w:color w:val="000000"/>
              </w:rPr>
              <w:t>905</w:t>
            </w:r>
          </w:p>
        </w:tc>
        <w:tc>
          <w:tcPr>
            <w:tcW w:w="6660" w:type="dxa"/>
            <w:tcBorders>
              <w:top w:val="nil"/>
              <w:left w:val="nil"/>
              <w:bottom w:val="nil"/>
              <w:right w:val="nil"/>
            </w:tcBorders>
            <w:shd w:val="clear" w:color="auto" w:fill="auto"/>
            <w:noWrap/>
            <w:vAlign w:val="bottom"/>
            <w:hideMark/>
          </w:tcPr>
          <w:p w14:paraId="6ED4BAE3" w14:textId="77777777" w:rsidR="009E69B4" w:rsidRPr="009E69B4" w:rsidRDefault="009E69B4" w:rsidP="009E69B4">
            <w:pPr>
              <w:spacing w:after="0" w:line="240" w:lineRule="auto"/>
              <w:rPr>
                <w:rFonts w:ascii="Times New Roman" w:eastAsia="Times New Roman" w:hAnsi="Times New Roman" w:cs="Times New Roman"/>
                <w:color w:val="000000"/>
              </w:rPr>
            </w:pPr>
            <w:r w:rsidRPr="009E69B4">
              <w:rPr>
                <w:rFonts w:ascii="Times New Roman" w:eastAsia="Times New Roman" w:hAnsi="Times New Roman" w:cs="Times New Roman"/>
                <w:color w:val="000000"/>
              </w:rPr>
              <w:t>Total</w:t>
            </w:r>
          </w:p>
        </w:tc>
      </w:tr>
    </w:tbl>
    <w:p w14:paraId="26AE159C" w14:textId="77777777" w:rsidR="004021BD" w:rsidRDefault="004021BD" w:rsidP="00F95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14:paraId="4C9607DC" w14:textId="2B9FE16D" w:rsidR="005877C5" w:rsidRPr="005877C5" w:rsidRDefault="005877C5" w:rsidP="00F95777">
      <w:pPr>
        <w:jc w:val="both"/>
        <w:rPr>
          <w:rFonts w:ascii="Times New Roman" w:hAnsi="Times New Roman" w:cs="Times New Roman"/>
        </w:rPr>
      </w:pPr>
      <w:r w:rsidRPr="005877C5">
        <w:rPr>
          <w:rFonts w:ascii="Times New Roman" w:hAnsi="Times New Roman" w:cs="Times New Roman"/>
        </w:rPr>
        <w:t>Our quantitative evaluation leans very heavily on the administrative data</w:t>
      </w:r>
      <w:r>
        <w:rPr>
          <w:rFonts w:ascii="Times New Roman" w:hAnsi="Times New Roman" w:cs="Times New Roman"/>
        </w:rPr>
        <w:t>, chiefly the UI earnings data</w:t>
      </w:r>
      <w:r w:rsidRPr="005877C5">
        <w:rPr>
          <w:rFonts w:ascii="Times New Roman" w:hAnsi="Times New Roman" w:cs="Times New Roman"/>
        </w:rPr>
        <w:t xml:space="preserve">.  As discussed above, those data are a powerful asset for the evaluation.  </w:t>
      </w:r>
      <w:r>
        <w:rPr>
          <w:rFonts w:ascii="Times New Roman" w:hAnsi="Times New Roman" w:cs="Times New Roman"/>
        </w:rPr>
        <w:t xml:space="preserve">However, from the outset, we identified three lacunae with the UI data.  They do not measure hours worked, rates of pay and occupation.  The tables above show the major occupational breakdown for CCMEP youths eligible for Wage Pathways.  One notable finding is that, over an interval of about six months, </w:t>
      </w:r>
      <w:r w:rsidR="00235B32">
        <w:rPr>
          <w:rFonts w:ascii="Times New Roman" w:hAnsi="Times New Roman" w:cs="Times New Roman"/>
        </w:rPr>
        <w:t>these youths move away from Food Preparation and Serving occupations.  Those occupations have long been a gateway to the labor market, with youths learning the ways of the world of work and, in the case of wait-staff, experiencing the direct connection between compensation and having a positive customer (and employer) orientation.  In Table 6 below we show how employment rates, wage rates and hours worked change over a six month interval for WP eligible youths.</w:t>
      </w:r>
    </w:p>
    <w:p w14:paraId="5DED79FD" w14:textId="77777777" w:rsidR="009E69B4" w:rsidRDefault="009E69B4">
      <w:pPr>
        <w:rPr>
          <w:rFonts w:ascii="Times New Roman" w:hAnsi="Times New Roman" w:cs="Times New Roman"/>
        </w:rPr>
      </w:pPr>
      <w:r>
        <w:rPr>
          <w:rFonts w:ascii="Times New Roman" w:hAnsi="Times New Roman" w:cs="Times New Roman"/>
        </w:rPr>
        <w:br w:type="page"/>
      </w:r>
    </w:p>
    <w:p w14:paraId="5CECB3C9" w14:textId="06F0C620" w:rsidR="005877C5" w:rsidRPr="005877C5" w:rsidRDefault="005877C5" w:rsidP="00F95777">
      <w:pPr>
        <w:spacing w:after="0"/>
        <w:jc w:val="center"/>
        <w:rPr>
          <w:rFonts w:ascii="Times New Roman" w:hAnsi="Times New Roman" w:cs="Times New Roman"/>
        </w:rPr>
      </w:pPr>
      <w:r w:rsidRPr="005877C5">
        <w:rPr>
          <w:rFonts w:ascii="Times New Roman" w:hAnsi="Times New Roman" w:cs="Times New Roman"/>
        </w:rPr>
        <w:lastRenderedPageBreak/>
        <w:t>Table 6</w:t>
      </w:r>
    </w:p>
    <w:p w14:paraId="0E3EAC77" w14:textId="4A4EB6DC" w:rsidR="005877C5" w:rsidRDefault="005877C5" w:rsidP="00F95777">
      <w:pPr>
        <w:spacing w:after="0"/>
        <w:jc w:val="center"/>
        <w:rPr>
          <w:rFonts w:ascii="Times New Roman" w:hAnsi="Times New Roman" w:cs="Times New Roman"/>
        </w:rPr>
      </w:pPr>
      <w:r w:rsidRPr="005877C5">
        <w:rPr>
          <w:rFonts w:ascii="Times New Roman" w:hAnsi="Times New Roman" w:cs="Times New Roman"/>
        </w:rPr>
        <w:t>Findings f</w:t>
      </w:r>
      <w:r>
        <w:rPr>
          <w:rFonts w:ascii="Times New Roman" w:hAnsi="Times New Roman" w:cs="Times New Roman"/>
        </w:rPr>
        <w:t>rom Two Respondent Survey Waves</w:t>
      </w:r>
    </w:p>
    <w:tbl>
      <w:tblPr>
        <w:tblW w:w="7660" w:type="dxa"/>
        <w:tblLook w:val="04A0" w:firstRow="1" w:lastRow="0" w:firstColumn="1" w:lastColumn="0" w:noHBand="0" w:noVBand="1"/>
      </w:tblPr>
      <w:tblGrid>
        <w:gridCol w:w="3480"/>
        <w:gridCol w:w="2060"/>
        <w:gridCol w:w="2120"/>
      </w:tblGrid>
      <w:tr w:rsidR="0016517F" w:rsidRPr="0016517F" w14:paraId="6D16A59D" w14:textId="77777777" w:rsidTr="0016517F">
        <w:trPr>
          <w:trHeight w:val="300"/>
        </w:trPr>
        <w:tc>
          <w:tcPr>
            <w:tcW w:w="3480" w:type="dxa"/>
            <w:tcBorders>
              <w:top w:val="nil"/>
              <w:left w:val="nil"/>
              <w:bottom w:val="nil"/>
              <w:right w:val="nil"/>
            </w:tcBorders>
            <w:shd w:val="clear" w:color="auto" w:fill="auto"/>
            <w:noWrap/>
            <w:vAlign w:val="bottom"/>
            <w:hideMark/>
          </w:tcPr>
          <w:p w14:paraId="15FA0F69" w14:textId="77777777" w:rsidR="0016517F" w:rsidRPr="0016517F" w:rsidRDefault="0016517F" w:rsidP="00F95777">
            <w:pPr>
              <w:spacing w:after="0" w:line="240" w:lineRule="auto"/>
              <w:jc w:val="both"/>
              <w:rPr>
                <w:rFonts w:ascii="Times New Roman" w:eastAsia="Times New Roman" w:hAnsi="Times New Roman" w:cs="Times New Roman"/>
                <w:sz w:val="24"/>
                <w:szCs w:val="24"/>
              </w:rPr>
            </w:pPr>
          </w:p>
        </w:tc>
        <w:tc>
          <w:tcPr>
            <w:tcW w:w="2060" w:type="dxa"/>
            <w:tcBorders>
              <w:top w:val="nil"/>
              <w:left w:val="nil"/>
              <w:bottom w:val="nil"/>
              <w:right w:val="nil"/>
            </w:tcBorders>
            <w:shd w:val="clear" w:color="auto" w:fill="auto"/>
            <w:noWrap/>
            <w:vAlign w:val="bottom"/>
            <w:hideMark/>
          </w:tcPr>
          <w:p w14:paraId="352DFAAC"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Wave 1</w:t>
            </w:r>
          </w:p>
        </w:tc>
        <w:tc>
          <w:tcPr>
            <w:tcW w:w="2120" w:type="dxa"/>
            <w:tcBorders>
              <w:top w:val="nil"/>
              <w:left w:val="nil"/>
              <w:bottom w:val="nil"/>
              <w:right w:val="nil"/>
            </w:tcBorders>
            <w:shd w:val="clear" w:color="auto" w:fill="auto"/>
            <w:noWrap/>
            <w:vAlign w:val="bottom"/>
            <w:hideMark/>
          </w:tcPr>
          <w:p w14:paraId="3FF675EC"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Wave 2</w:t>
            </w:r>
          </w:p>
        </w:tc>
      </w:tr>
      <w:tr w:rsidR="0016517F" w:rsidRPr="0016517F" w14:paraId="5955B53E" w14:textId="77777777" w:rsidTr="0016517F">
        <w:trPr>
          <w:trHeight w:val="300"/>
        </w:trPr>
        <w:tc>
          <w:tcPr>
            <w:tcW w:w="3480" w:type="dxa"/>
            <w:tcBorders>
              <w:top w:val="nil"/>
              <w:left w:val="nil"/>
              <w:bottom w:val="nil"/>
              <w:right w:val="nil"/>
            </w:tcBorders>
            <w:shd w:val="clear" w:color="auto" w:fill="auto"/>
            <w:noWrap/>
            <w:vAlign w:val="bottom"/>
            <w:hideMark/>
          </w:tcPr>
          <w:p w14:paraId="18DC71CC" w14:textId="77777777" w:rsidR="0016517F" w:rsidRPr="0016517F" w:rsidRDefault="0016517F" w:rsidP="00F95777">
            <w:pPr>
              <w:spacing w:after="0" w:line="240" w:lineRule="auto"/>
              <w:jc w:val="both"/>
              <w:rPr>
                <w:rFonts w:ascii="Calibri" w:eastAsia="Times New Roman" w:hAnsi="Calibri" w:cs="Calibri"/>
                <w:color w:val="000000"/>
              </w:rPr>
            </w:pPr>
          </w:p>
        </w:tc>
        <w:tc>
          <w:tcPr>
            <w:tcW w:w="2060" w:type="dxa"/>
            <w:tcBorders>
              <w:top w:val="nil"/>
              <w:left w:val="nil"/>
              <w:bottom w:val="nil"/>
              <w:right w:val="nil"/>
            </w:tcBorders>
            <w:shd w:val="clear" w:color="auto" w:fill="auto"/>
            <w:noWrap/>
            <w:vAlign w:val="bottom"/>
            <w:hideMark/>
          </w:tcPr>
          <w:p w14:paraId="5C065907"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Oct 2018 - Feb 2019</w:t>
            </w:r>
          </w:p>
        </w:tc>
        <w:tc>
          <w:tcPr>
            <w:tcW w:w="2120" w:type="dxa"/>
            <w:tcBorders>
              <w:top w:val="nil"/>
              <w:left w:val="nil"/>
              <w:bottom w:val="nil"/>
              <w:right w:val="nil"/>
            </w:tcBorders>
            <w:shd w:val="clear" w:color="auto" w:fill="auto"/>
            <w:noWrap/>
            <w:vAlign w:val="bottom"/>
            <w:hideMark/>
          </w:tcPr>
          <w:p w14:paraId="7A924B0A"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May - Aug 2019</w:t>
            </w:r>
          </w:p>
        </w:tc>
      </w:tr>
      <w:tr w:rsidR="0016517F" w:rsidRPr="0016517F" w14:paraId="17BDD662" w14:textId="77777777" w:rsidTr="0016517F">
        <w:trPr>
          <w:trHeight w:val="300"/>
        </w:trPr>
        <w:tc>
          <w:tcPr>
            <w:tcW w:w="3480" w:type="dxa"/>
            <w:tcBorders>
              <w:top w:val="nil"/>
              <w:left w:val="nil"/>
              <w:bottom w:val="nil"/>
              <w:right w:val="nil"/>
            </w:tcBorders>
            <w:shd w:val="clear" w:color="auto" w:fill="auto"/>
            <w:noWrap/>
            <w:vAlign w:val="bottom"/>
            <w:hideMark/>
          </w:tcPr>
          <w:p w14:paraId="4816FA0B"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Worked last week</w:t>
            </w:r>
          </w:p>
        </w:tc>
        <w:tc>
          <w:tcPr>
            <w:tcW w:w="2060" w:type="dxa"/>
            <w:tcBorders>
              <w:top w:val="nil"/>
              <w:left w:val="nil"/>
              <w:bottom w:val="nil"/>
              <w:right w:val="nil"/>
            </w:tcBorders>
            <w:shd w:val="clear" w:color="auto" w:fill="auto"/>
            <w:noWrap/>
            <w:vAlign w:val="bottom"/>
            <w:hideMark/>
          </w:tcPr>
          <w:p w14:paraId="34834EC4"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48.9%</w:t>
            </w:r>
          </w:p>
        </w:tc>
        <w:tc>
          <w:tcPr>
            <w:tcW w:w="2120" w:type="dxa"/>
            <w:tcBorders>
              <w:top w:val="nil"/>
              <w:left w:val="nil"/>
              <w:bottom w:val="nil"/>
              <w:right w:val="nil"/>
            </w:tcBorders>
            <w:shd w:val="clear" w:color="auto" w:fill="auto"/>
            <w:noWrap/>
            <w:vAlign w:val="bottom"/>
            <w:hideMark/>
          </w:tcPr>
          <w:p w14:paraId="2C7175B8"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62.3%</w:t>
            </w:r>
          </w:p>
        </w:tc>
      </w:tr>
      <w:tr w:rsidR="0016517F" w:rsidRPr="0016517F" w14:paraId="54FF1FE3" w14:textId="77777777" w:rsidTr="0016517F">
        <w:trPr>
          <w:trHeight w:val="300"/>
        </w:trPr>
        <w:tc>
          <w:tcPr>
            <w:tcW w:w="3480" w:type="dxa"/>
            <w:tcBorders>
              <w:top w:val="nil"/>
              <w:left w:val="nil"/>
              <w:bottom w:val="nil"/>
              <w:right w:val="nil"/>
            </w:tcBorders>
            <w:shd w:val="clear" w:color="auto" w:fill="auto"/>
            <w:noWrap/>
            <w:vAlign w:val="bottom"/>
            <w:hideMark/>
          </w:tcPr>
          <w:p w14:paraId="68D62C77"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Worked last 30 days</w:t>
            </w:r>
          </w:p>
        </w:tc>
        <w:tc>
          <w:tcPr>
            <w:tcW w:w="2060" w:type="dxa"/>
            <w:tcBorders>
              <w:top w:val="nil"/>
              <w:left w:val="nil"/>
              <w:bottom w:val="nil"/>
              <w:right w:val="nil"/>
            </w:tcBorders>
            <w:shd w:val="clear" w:color="auto" w:fill="auto"/>
            <w:noWrap/>
            <w:vAlign w:val="bottom"/>
            <w:hideMark/>
          </w:tcPr>
          <w:p w14:paraId="7B74BA47"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59.2%</w:t>
            </w:r>
          </w:p>
        </w:tc>
        <w:tc>
          <w:tcPr>
            <w:tcW w:w="2120" w:type="dxa"/>
            <w:tcBorders>
              <w:top w:val="nil"/>
              <w:left w:val="nil"/>
              <w:bottom w:val="nil"/>
              <w:right w:val="nil"/>
            </w:tcBorders>
            <w:shd w:val="clear" w:color="auto" w:fill="auto"/>
            <w:noWrap/>
            <w:vAlign w:val="bottom"/>
            <w:hideMark/>
          </w:tcPr>
          <w:p w14:paraId="481B28F5"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83.8%</w:t>
            </w:r>
          </w:p>
        </w:tc>
      </w:tr>
      <w:tr w:rsidR="0016517F" w:rsidRPr="0016517F" w14:paraId="5DA593BA" w14:textId="77777777" w:rsidTr="0016517F">
        <w:trPr>
          <w:trHeight w:val="300"/>
        </w:trPr>
        <w:tc>
          <w:tcPr>
            <w:tcW w:w="3480" w:type="dxa"/>
            <w:tcBorders>
              <w:top w:val="nil"/>
              <w:left w:val="nil"/>
              <w:bottom w:val="nil"/>
              <w:right w:val="nil"/>
            </w:tcBorders>
            <w:shd w:val="clear" w:color="auto" w:fill="auto"/>
            <w:noWrap/>
            <w:vAlign w:val="bottom"/>
            <w:hideMark/>
          </w:tcPr>
          <w:p w14:paraId="5A771BFC"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Hrs/wk major job</w:t>
            </w:r>
          </w:p>
        </w:tc>
        <w:tc>
          <w:tcPr>
            <w:tcW w:w="2060" w:type="dxa"/>
            <w:tcBorders>
              <w:top w:val="nil"/>
              <w:left w:val="nil"/>
              <w:bottom w:val="nil"/>
              <w:right w:val="nil"/>
            </w:tcBorders>
            <w:shd w:val="clear" w:color="auto" w:fill="auto"/>
            <w:noWrap/>
            <w:vAlign w:val="bottom"/>
            <w:hideMark/>
          </w:tcPr>
          <w:p w14:paraId="26796831"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25.8</w:t>
            </w:r>
          </w:p>
        </w:tc>
        <w:tc>
          <w:tcPr>
            <w:tcW w:w="2120" w:type="dxa"/>
            <w:tcBorders>
              <w:top w:val="nil"/>
              <w:left w:val="nil"/>
              <w:bottom w:val="nil"/>
              <w:right w:val="nil"/>
            </w:tcBorders>
            <w:shd w:val="clear" w:color="auto" w:fill="auto"/>
            <w:noWrap/>
            <w:vAlign w:val="bottom"/>
            <w:hideMark/>
          </w:tcPr>
          <w:p w14:paraId="1A9EEAE2"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29.4</w:t>
            </w:r>
          </w:p>
        </w:tc>
      </w:tr>
      <w:tr w:rsidR="0016517F" w:rsidRPr="0016517F" w14:paraId="5CA4056A" w14:textId="77777777" w:rsidTr="0016517F">
        <w:trPr>
          <w:trHeight w:val="300"/>
        </w:trPr>
        <w:tc>
          <w:tcPr>
            <w:tcW w:w="3480" w:type="dxa"/>
            <w:tcBorders>
              <w:top w:val="nil"/>
              <w:left w:val="nil"/>
              <w:bottom w:val="nil"/>
              <w:right w:val="nil"/>
            </w:tcBorders>
            <w:shd w:val="clear" w:color="auto" w:fill="auto"/>
            <w:noWrap/>
            <w:vAlign w:val="bottom"/>
            <w:hideMark/>
          </w:tcPr>
          <w:p w14:paraId="3421262E"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Paid Hourly Major Job</w:t>
            </w:r>
          </w:p>
        </w:tc>
        <w:tc>
          <w:tcPr>
            <w:tcW w:w="2060" w:type="dxa"/>
            <w:tcBorders>
              <w:top w:val="nil"/>
              <w:left w:val="nil"/>
              <w:bottom w:val="nil"/>
              <w:right w:val="nil"/>
            </w:tcBorders>
            <w:shd w:val="clear" w:color="auto" w:fill="auto"/>
            <w:noWrap/>
            <w:vAlign w:val="bottom"/>
            <w:hideMark/>
          </w:tcPr>
          <w:p w14:paraId="76C283DB"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90.6%</w:t>
            </w:r>
          </w:p>
        </w:tc>
        <w:tc>
          <w:tcPr>
            <w:tcW w:w="2120" w:type="dxa"/>
            <w:tcBorders>
              <w:top w:val="nil"/>
              <w:left w:val="nil"/>
              <w:bottom w:val="nil"/>
              <w:right w:val="nil"/>
            </w:tcBorders>
            <w:shd w:val="clear" w:color="auto" w:fill="auto"/>
            <w:noWrap/>
            <w:vAlign w:val="bottom"/>
            <w:hideMark/>
          </w:tcPr>
          <w:p w14:paraId="1F495DE6"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88.7%</w:t>
            </w:r>
          </w:p>
        </w:tc>
      </w:tr>
      <w:tr w:rsidR="0016517F" w:rsidRPr="0016517F" w14:paraId="0020EED7" w14:textId="77777777" w:rsidTr="0016517F">
        <w:trPr>
          <w:trHeight w:val="300"/>
        </w:trPr>
        <w:tc>
          <w:tcPr>
            <w:tcW w:w="3480" w:type="dxa"/>
            <w:tcBorders>
              <w:top w:val="nil"/>
              <w:left w:val="nil"/>
              <w:bottom w:val="nil"/>
              <w:right w:val="nil"/>
            </w:tcBorders>
            <w:shd w:val="clear" w:color="auto" w:fill="auto"/>
            <w:noWrap/>
            <w:vAlign w:val="bottom"/>
            <w:hideMark/>
          </w:tcPr>
          <w:p w14:paraId="1B708A94"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Hourly Rate of Pay</w:t>
            </w:r>
          </w:p>
        </w:tc>
        <w:tc>
          <w:tcPr>
            <w:tcW w:w="2060" w:type="dxa"/>
            <w:tcBorders>
              <w:top w:val="nil"/>
              <w:left w:val="nil"/>
              <w:bottom w:val="nil"/>
              <w:right w:val="nil"/>
            </w:tcBorders>
            <w:shd w:val="clear" w:color="auto" w:fill="auto"/>
            <w:noWrap/>
            <w:vAlign w:val="bottom"/>
            <w:hideMark/>
          </w:tcPr>
          <w:p w14:paraId="478105CA"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$11.57</w:t>
            </w:r>
          </w:p>
        </w:tc>
        <w:tc>
          <w:tcPr>
            <w:tcW w:w="2120" w:type="dxa"/>
            <w:tcBorders>
              <w:top w:val="nil"/>
              <w:left w:val="nil"/>
              <w:bottom w:val="nil"/>
              <w:right w:val="nil"/>
            </w:tcBorders>
            <w:shd w:val="clear" w:color="auto" w:fill="auto"/>
            <w:noWrap/>
            <w:vAlign w:val="bottom"/>
            <w:hideMark/>
          </w:tcPr>
          <w:p w14:paraId="3BC7EECC"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$12.28</w:t>
            </w:r>
          </w:p>
        </w:tc>
      </w:tr>
      <w:tr w:rsidR="0016517F" w:rsidRPr="0016517F" w14:paraId="6C2DC9BF" w14:textId="77777777" w:rsidTr="0016517F">
        <w:trPr>
          <w:trHeight w:val="270"/>
        </w:trPr>
        <w:tc>
          <w:tcPr>
            <w:tcW w:w="3480" w:type="dxa"/>
            <w:tcBorders>
              <w:top w:val="nil"/>
              <w:left w:val="nil"/>
              <w:bottom w:val="nil"/>
              <w:right w:val="nil"/>
            </w:tcBorders>
            <w:shd w:val="clear" w:color="auto" w:fill="auto"/>
            <w:vAlign w:val="bottom"/>
            <w:hideMark/>
          </w:tcPr>
          <w:p w14:paraId="0A7762B5"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Weekly earnings if not paid by hour</w:t>
            </w:r>
          </w:p>
        </w:tc>
        <w:tc>
          <w:tcPr>
            <w:tcW w:w="2060" w:type="dxa"/>
            <w:tcBorders>
              <w:top w:val="nil"/>
              <w:left w:val="nil"/>
              <w:bottom w:val="nil"/>
              <w:right w:val="nil"/>
            </w:tcBorders>
            <w:shd w:val="clear" w:color="auto" w:fill="auto"/>
            <w:noWrap/>
            <w:vAlign w:val="bottom"/>
            <w:hideMark/>
          </w:tcPr>
          <w:p w14:paraId="211280DD"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$233.80</w:t>
            </w:r>
          </w:p>
        </w:tc>
        <w:tc>
          <w:tcPr>
            <w:tcW w:w="2120" w:type="dxa"/>
            <w:tcBorders>
              <w:top w:val="nil"/>
              <w:left w:val="nil"/>
              <w:bottom w:val="nil"/>
              <w:right w:val="nil"/>
            </w:tcBorders>
            <w:shd w:val="clear" w:color="auto" w:fill="auto"/>
            <w:noWrap/>
            <w:vAlign w:val="bottom"/>
            <w:hideMark/>
          </w:tcPr>
          <w:p w14:paraId="5DE66E99" w14:textId="77777777" w:rsidR="0016517F" w:rsidRPr="0016517F" w:rsidRDefault="0016517F" w:rsidP="00F95777">
            <w:pPr>
              <w:spacing w:after="0" w:line="240" w:lineRule="auto"/>
              <w:jc w:val="both"/>
              <w:rPr>
                <w:rFonts w:ascii="Calibri" w:eastAsia="Times New Roman" w:hAnsi="Calibri" w:cs="Calibri"/>
                <w:color w:val="000000"/>
              </w:rPr>
            </w:pPr>
            <w:r w:rsidRPr="0016517F">
              <w:rPr>
                <w:rFonts w:ascii="Calibri" w:eastAsia="Times New Roman" w:hAnsi="Calibri" w:cs="Calibri"/>
                <w:color w:val="000000"/>
              </w:rPr>
              <w:t>$294.27</w:t>
            </w:r>
          </w:p>
        </w:tc>
      </w:tr>
    </w:tbl>
    <w:p w14:paraId="48C9E9FE" w14:textId="77777777" w:rsidR="0016517F" w:rsidRPr="008B2D95" w:rsidRDefault="0016517F" w:rsidP="00F95777">
      <w:pPr>
        <w:spacing w:after="0"/>
        <w:jc w:val="both"/>
        <w:rPr>
          <w:rFonts w:ascii="Times New Roman" w:hAnsi="Times New Roman" w:cs="Times New Roman"/>
        </w:rPr>
      </w:pPr>
    </w:p>
    <w:p w14:paraId="7996B7F7" w14:textId="5D96215C" w:rsidR="007D63B1" w:rsidRDefault="0016517F" w:rsidP="00F95777">
      <w:pPr>
        <w:jc w:val="both"/>
        <w:rPr>
          <w:rFonts w:ascii="Times New Roman" w:hAnsi="Times New Roman" w:cs="Times New Roman"/>
        </w:rPr>
      </w:pPr>
      <w:r>
        <w:rPr>
          <w:rFonts w:ascii="Times New Roman" w:hAnsi="Times New Roman" w:cs="Times New Roman"/>
        </w:rPr>
        <w:t>Seasonality makes it difficult to compare the two waves although Wave 1 includes the busy holiday season, Wave 2 includes a large part of the summer that is usually favorable to younger workers.  Even so, over this rather short time span, hourly rate of pay went up by 6%, hours per week went up 14%, and employment increased substantially.  The findings on the hourly rate of pay foreshadow a key finding below – the rapidity with which earnings for young workers expand early in their work careers.</w:t>
      </w:r>
    </w:p>
    <w:p w14:paraId="28554BDC" w14:textId="5C88061C" w:rsidR="00530B2E" w:rsidRPr="00C04BD3" w:rsidRDefault="00C04BD3" w:rsidP="00C04BD3">
      <w:pPr>
        <w:pStyle w:val="Heading2"/>
        <w:rPr>
          <w:rFonts w:ascii="Times New Roman" w:hAnsi="Times New Roman" w:cs="Times New Roman"/>
        </w:rPr>
      </w:pPr>
      <w:bookmarkStart w:id="23" w:name="_Toc20468476"/>
      <w:r w:rsidRPr="00C04BD3">
        <w:rPr>
          <w:rFonts w:ascii="Times New Roman" w:hAnsi="Times New Roman" w:cs="Times New Roman"/>
        </w:rPr>
        <w:t>The Outcome Study</w:t>
      </w:r>
      <w:bookmarkEnd w:id="23"/>
    </w:p>
    <w:p w14:paraId="6B4C03CC" w14:textId="77777777" w:rsidR="00C04BD3" w:rsidRPr="00C04BD3" w:rsidRDefault="00C04BD3" w:rsidP="00C04BD3">
      <w:pPr>
        <w:pStyle w:val="Heading3"/>
        <w:rPr>
          <w:rFonts w:ascii="Times New Roman" w:hAnsi="Times New Roman" w:cs="Times New Roman"/>
        </w:rPr>
      </w:pPr>
      <w:bookmarkStart w:id="24" w:name="_Toc20468477"/>
      <w:r w:rsidRPr="00C04BD3">
        <w:rPr>
          <w:rFonts w:ascii="Times New Roman" w:hAnsi="Times New Roman" w:cs="Times New Roman"/>
        </w:rPr>
        <w:t>Research Design</w:t>
      </w:r>
      <w:bookmarkEnd w:id="24"/>
    </w:p>
    <w:p w14:paraId="5E3A90E2" w14:textId="77777777" w:rsidR="00C04BD3" w:rsidRPr="00C04BD3" w:rsidRDefault="009B1FA6" w:rsidP="00F95777">
      <w:pPr>
        <w:jc w:val="both"/>
        <w:rPr>
          <w:rFonts w:ascii="Times New Roman" w:hAnsi="Times New Roman" w:cs="Times New Roman"/>
        </w:rPr>
      </w:pPr>
      <w:r>
        <w:rPr>
          <w:rFonts w:ascii="Times New Roman" w:hAnsi="Times New Roman" w:cs="Times New Roman"/>
        </w:rPr>
        <w:t>We built our design of the outcome study around two major factors</w:t>
      </w:r>
      <w:r w:rsidR="00072AB4">
        <w:rPr>
          <w:rFonts w:ascii="Times New Roman" w:hAnsi="Times New Roman" w:cs="Times New Roman"/>
        </w:rPr>
        <w:t>:</w:t>
      </w:r>
      <w:r>
        <w:rPr>
          <w:rFonts w:ascii="Times New Roman" w:hAnsi="Times New Roman" w:cs="Times New Roman"/>
        </w:rPr>
        <w:t xml:space="preserve"> 1) the availability of extensive administrative data, especially earnings data, in the OLDA starting in the early 2000s</w:t>
      </w:r>
      <w:r w:rsidR="00072AB4">
        <w:rPr>
          <w:rFonts w:ascii="Times New Roman" w:hAnsi="Times New Roman" w:cs="Times New Roman"/>
        </w:rPr>
        <w:t xml:space="preserve">; </w:t>
      </w:r>
      <w:r>
        <w:rPr>
          <w:rFonts w:ascii="Times New Roman" w:hAnsi="Times New Roman" w:cs="Times New Roman"/>
        </w:rPr>
        <w:t>and 2) the fact that ODJFS and its affiliated county departments</w:t>
      </w:r>
      <w:r>
        <w:rPr>
          <w:rStyle w:val="FootnoteReference"/>
          <w:rFonts w:ascii="Times New Roman" w:hAnsi="Times New Roman" w:cs="Times New Roman"/>
        </w:rPr>
        <w:footnoteReference w:id="25"/>
      </w:r>
      <w:r>
        <w:rPr>
          <w:rFonts w:ascii="Times New Roman" w:hAnsi="Times New Roman" w:cs="Times New Roman"/>
        </w:rPr>
        <w:t xml:space="preserve"> of Job and Family Services would find an evaluation built around random assignment of subject and treatment </w:t>
      </w:r>
      <w:r w:rsidR="00DE0B8C">
        <w:rPr>
          <w:rFonts w:ascii="Times New Roman" w:hAnsi="Times New Roman" w:cs="Times New Roman"/>
        </w:rPr>
        <w:t xml:space="preserve">was </w:t>
      </w:r>
      <w:r>
        <w:rPr>
          <w:rFonts w:ascii="Times New Roman" w:hAnsi="Times New Roman" w:cs="Times New Roman"/>
        </w:rPr>
        <w:t>politically unacceptable</w:t>
      </w:r>
      <w:r w:rsidR="00DE0B8C">
        <w:rPr>
          <w:rFonts w:ascii="Times New Roman" w:hAnsi="Times New Roman" w:cs="Times New Roman"/>
        </w:rPr>
        <w:t xml:space="preserve"> in their counties</w:t>
      </w:r>
      <w:r>
        <w:rPr>
          <w:rFonts w:ascii="Times New Roman" w:hAnsi="Times New Roman" w:cs="Times New Roman"/>
        </w:rPr>
        <w:t>.</w:t>
      </w:r>
      <w:r w:rsidR="003441CC">
        <w:rPr>
          <w:rFonts w:ascii="Times New Roman" w:hAnsi="Times New Roman" w:cs="Times New Roman"/>
        </w:rPr>
        <w:t xml:space="preserve">  In addition, the operation of the WP program gave considerable discretion to program staff in the local offices, so which clients ended up be</w:t>
      </w:r>
      <w:r w:rsidR="009F35CC">
        <w:rPr>
          <w:rFonts w:ascii="Times New Roman" w:hAnsi="Times New Roman" w:cs="Times New Roman"/>
        </w:rPr>
        <w:t>ing</w:t>
      </w:r>
      <w:r w:rsidR="003441CC">
        <w:rPr>
          <w:rFonts w:ascii="Times New Roman" w:hAnsi="Times New Roman" w:cs="Times New Roman"/>
        </w:rPr>
        <w:t xml:space="preserve"> participants and which </w:t>
      </w:r>
      <w:r w:rsidR="009F35CC">
        <w:rPr>
          <w:rFonts w:ascii="Times New Roman" w:hAnsi="Times New Roman" w:cs="Times New Roman"/>
        </w:rPr>
        <w:t xml:space="preserve">became </w:t>
      </w:r>
      <w:r w:rsidR="003441CC">
        <w:rPr>
          <w:rFonts w:ascii="Times New Roman" w:hAnsi="Times New Roman" w:cs="Times New Roman"/>
        </w:rPr>
        <w:t xml:space="preserve">non-participants could very easily reflect “creaming” in the local offices; picking the best prospects to put into the WP program, resulting in a significant overstatement of the efficacy of the WP program.  </w:t>
      </w:r>
      <w:r w:rsidR="00F45ED1">
        <w:rPr>
          <w:rFonts w:ascii="Times New Roman" w:hAnsi="Times New Roman" w:cs="Times New Roman"/>
        </w:rPr>
        <w:t xml:space="preserve">What ODJFS wanted to learn was whether adding WP as </w:t>
      </w:r>
      <w:r w:rsidR="00072AB4">
        <w:rPr>
          <w:rFonts w:ascii="Times New Roman" w:hAnsi="Times New Roman" w:cs="Times New Roman"/>
        </w:rPr>
        <w:t xml:space="preserve">a </w:t>
      </w:r>
      <w:r w:rsidR="00F45ED1">
        <w:rPr>
          <w:rFonts w:ascii="Times New Roman" w:hAnsi="Times New Roman" w:cs="Times New Roman"/>
        </w:rPr>
        <w:t xml:space="preserve">statutory component of the new (statutory) CCMEP program would be cost effective.  As evaluators, the quantitative outcome study aims to </w:t>
      </w:r>
      <w:r w:rsidR="00FC13C4">
        <w:rPr>
          <w:rFonts w:ascii="Times New Roman" w:hAnsi="Times New Roman" w:cs="Times New Roman"/>
        </w:rPr>
        <w:t>measure</w:t>
      </w:r>
      <w:r w:rsidR="00F45ED1">
        <w:rPr>
          <w:rFonts w:ascii="Times New Roman" w:hAnsi="Times New Roman" w:cs="Times New Roman"/>
        </w:rPr>
        <w:t xml:space="preserve"> the costs of adding the WP component in all counties as well as the benefits that accrue to the CCMEP clients in the state because of this addition.  The political process </w:t>
      </w:r>
      <w:r w:rsidR="009F35CC">
        <w:rPr>
          <w:rFonts w:ascii="Times New Roman" w:hAnsi="Times New Roman" w:cs="Times New Roman"/>
        </w:rPr>
        <w:t>will</w:t>
      </w:r>
      <w:r w:rsidR="00F45ED1">
        <w:rPr>
          <w:rFonts w:ascii="Times New Roman" w:hAnsi="Times New Roman" w:cs="Times New Roman"/>
        </w:rPr>
        <w:t xml:space="preserve"> determine whether the estimated costs versus benefits ma</w:t>
      </w:r>
      <w:r w:rsidR="009F35CC">
        <w:rPr>
          <w:rFonts w:ascii="Times New Roman" w:hAnsi="Times New Roman" w:cs="Times New Roman"/>
        </w:rPr>
        <w:t>k</w:t>
      </w:r>
      <w:r w:rsidR="00F45ED1">
        <w:rPr>
          <w:rFonts w:ascii="Times New Roman" w:hAnsi="Times New Roman" w:cs="Times New Roman"/>
        </w:rPr>
        <w:t>e the program an attractive addition to the overarching CCMEP program.</w:t>
      </w:r>
    </w:p>
    <w:p w14:paraId="07D51DF9" w14:textId="77777777" w:rsidR="001A31F9" w:rsidRPr="00FF1679" w:rsidRDefault="00C04BD3" w:rsidP="00FF1679">
      <w:pPr>
        <w:rPr>
          <w:rFonts w:ascii="Times New Roman" w:hAnsi="Times New Roman" w:cs="Times New Roman"/>
        </w:rPr>
      </w:pPr>
      <w:r w:rsidRPr="00FF1679">
        <w:rPr>
          <w:rFonts w:ascii="Times New Roman" w:hAnsi="Times New Roman" w:cs="Times New Roman"/>
          <w:i/>
        </w:rPr>
        <w:t>Context</w:t>
      </w:r>
      <w:r w:rsidR="003B76B1">
        <w:t xml:space="preserve"> </w:t>
      </w:r>
      <w:r w:rsidR="003B76B1" w:rsidRPr="003B76B1">
        <w:t xml:space="preserve">- </w:t>
      </w:r>
      <w:r w:rsidR="000363C3" w:rsidRPr="00FF1679">
        <w:rPr>
          <w:rFonts w:ascii="Times New Roman" w:hAnsi="Times New Roman" w:cs="Times New Roman"/>
        </w:rPr>
        <w:t xml:space="preserve">Being a part of the State of Ohio’s new Comprehensive Case Management and Employment Program, the WP evaluation takes CCMEP as a given.  While some of the same people who are evaluating WP will evaluate CCMEP and the two evaluation efforts share most of the same data elements, the differences in how the </w:t>
      </w:r>
      <w:r w:rsidR="004D4CD4" w:rsidRPr="00FF1679">
        <w:rPr>
          <w:rFonts w:ascii="Times New Roman" w:hAnsi="Times New Roman" w:cs="Times New Roman"/>
        </w:rPr>
        <w:t xml:space="preserve">state implemented the two </w:t>
      </w:r>
      <w:r w:rsidR="000363C3" w:rsidRPr="00FF1679">
        <w:rPr>
          <w:rFonts w:ascii="Times New Roman" w:hAnsi="Times New Roman" w:cs="Times New Roman"/>
        </w:rPr>
        <w:t>programs</w:t>
      </w:r>
      <w:r w:rsidR="004D4CD4" w:rsidRPr="00FF1679">
        <w:rPr>
          <w:rFonts w:ascii="Times New Roman" w:hAnsi="Times New Roman" w:cs="Times New Roman"/>
        </w:rPr>
        <w:t xml:space="preserve"> produce significant differences in their evalu</w:t>
      </w:r>
      <w:r w:rsidR="004D4CD4" w:rsidRPr="00FF1679">
        <w:rPr>
          <w:rFonts w:ascii="Times New Roman" w:hAnsi="Times New Roman" w:cs="Times New Roman"/>
        </w:rPr>
        <w:lastRenderedPageBreak/>
        <w:t xml:space="preserve">ations.  Most notably, while WP does not employ random assignment at the individual level, it does employ quasi-random assignment at the county level.  Counties had to volunteer to be WP implementation sites; the state did not randomly select counties to host WP implementations.  </w:t>
      </w:r>
    </w:p>
    <w:p w14:paraId="69F94DB7" w14:textId="77777777" w:rsidR="008212B0" w:rsidRDefault="004D4CD4" w:rsidP="00F95777">
      <w:pPr>
        <w:spacing w:after="0"/>
        <w:jc w:val="both"/>
        <w:rPr>
          <w:rFonts w:ascii="Times New Roman" w:hAnsi="Times New Roman" w:cs="Times New Roman"/>
        </w:rPr>
      </w:pPr>
      <w:r w:rsidRPr="001A31F9">
        <w:rPr>
          <w:rFonts w:ascii="Times New Roman" w:hAnsi="Times New Roman" w:cs="Times New Roman"/>
        </w:rPr>
        <w:t xml:space="preserve">From the point of view of clients in the 88 counties of Ohio, the availability of the WP treatment in their county did not reflect their individual-specific differences in their willingness to work or participate in the program.  It very well could be the case that more forward-looking and aggressive </w:t>
      </w:r>
      <w:r w:rsidR="001A31F9" w:rsidRPr="001A31F9">
        <w:rPr>
          <w:rFonts w:ascii="Times New Roman" w:hAnsi="Times New Roman" w:cs="Times New Roman"/>
        </w:rPr>
        <w:t>counties adopted WP and these counties would</w:t>
      </w:r>
      <w:r w:rsidR="001337D1" w:rsidRPr="001A31F9">
        <w:rPr>
          <w:rFonts w:ascii="Times New Roman" w:hAnsi="Times New Roman" w:cs="Times New Roman"/>
        </w:rPr>
        <w:t xml:space="preserve"> more likely produce </w:t>
      </w:r>
      <w:r w:rsidR="001A31F9">
        <w:rPr>
          <w:rFonts w:ascii="Times New Roman" w:hAnsi="Times New Roman" w:cs="Times New Roman"/>
        </w:rPr>
        <w:t xml:space="preserve">more </w:t>
      </w:r>
      <w:r w:rsidR="001337D1" w:rsidRPr="001A31F9">
        <w:rPr>
          <w:rFonts w:ascii="Times New Roman" w:hAnsi="Times New Roman" w:cs="Times New Roman"/>
        </w:rPr>
        <w:t xml:space="preserve">positive results than the average </w:t>
      </w:r>
      <w:r w:rsidR="001A31F9" w:rsidRPr="001A31F9">
        <w:rPr>
          <w:rFonts w:ascii="Times New Roman" w:hAnsi="Times New Roman" w:cs="Times New Roman"/>
        </w:rPr>
        <w:t xml:space="preserve">outcome that would result in the event the </w:t>
      </w:r>
      <w:r w:rsidR="001337D1" w:rsidRPr="001A31F9">
        <w:rPr>
          <w:rFonts w:ascii="Times New Roman" w:hAnsi="Times New Roman" w:cs="Times New Roman"/>
        </w:rPr>
        <w:t xml:space="preserve">program </w:t>
      </w:r>
      <w:r w:rsidR="001A31F9" w:rsidRPr="001A31F9">
        <w:rPr>
          <w:rFonts w:ascii="Times New Roman" w:hAnsi="Times New Roman" w:cs="Times New Roman"/>
        </w:rPr>
        <w:t xml:space="preserve">were </w:t>
      </w:r>
      <w:r w:rsidR="001337D1" w:rsidRPr="001A31F9">
        <w:rPr>
          <w:rFonts w:ascii="Times New Roman" w:hAnsi="Times New Roman" w:cs="Times New Roman"/>
        </w:rPr>
        <w:t xml:space="preserve">instituted state-wide.  While the quantitative analysis cannot answer </w:t>
      </w:r>
      <w:r w:rsidR="001A31F9">
        <w:rPr>
          <w:rFonts w:ascii="Times New Roman" w:hAnsi="Times New Roman" w:cs="Times New Roman"/>
        </w:rPr>
        <w:t xml:space="preserve">the question </w:t>
      </w:r>
      <w:r w:rsidR="00521FEB">
        <w:rPr>
          <w:rFonts w:ascii="Times New Roman" w:hAnsi="Times New Roman" w:cs="Times New Roman"/>
        </w:rPr>
        <w:t xml:space="preserve">of </w:t>
      </w:r>
      <w:r w:rsidR="001A31F9">
        <w:rPr>
          <w:rFonts w:ascii="Times New Roman" w:hAnsi="Times New Roman" w:cs="Times New Roman"/>
        </w:rPr>
        <w:t>whether the counties that chose to offer WP were or were not unusual in their ability to generate good results</w:t>
      </w:r>
      <w:r w:rsidR="001337D1" w:rsidRPr="001A31F9">
        <w:rPr>
          <w:rFonts w:ascii="Times New Roman" w:hAnsi="Times New Roman" w:cs="Times New Roman"/>
        </w:rPr>
        <w:t>, the qualitative analysis that focuses on procedures, activities and motivations within the counti</w:t>
      </w:r>
      <w:r w:rsidR="008212B0">
        <w:rPr>
          <w:rFonts w:ascii="Times New Roman" w:hAnsi="Times New Roman" w:cs="Times New Roman"/>
        </w:rPr>
        <w:t>es may illuminate this matter.</w:t>
      </w:r>
    </w:p>
    <w:p w14:paraId="09B2E55A" w14:textId="77777777" w:rsidR="008212B0" w:rsidRDefault="008212B0" w:rsidP="00F95777">
      <w:pPr>
        <w:spacing w:after="0"/>
        <w:jc w:val="both"/>
        <w:rPr>
          <w:rFonts w:ascii="Times New Roman" w:hAnsi="Times New Roman" w:cs="Times New Roman"/>
          <w:i/>
        </w:rPr>
      </w:pPr>
    </w:p>
    <w:p w14:paraId="0C1E4C32" w14:textId="3C15A9BA" w:rsidR="00532154" w:rsidRDefault="002D6AE5" w:rsidP="00252759">
      <w:pPr>
        <w:jc w:val="both"/>
        <w:rPr>
          <w:rFonts w:ascii="Times New Roman" w:hAnsi="Times New Roman" w:cs="Times New Roman"/>
        </w:rPr>
      </w:pPr>
      <w:r w:rsidRPr="00F95777">
        <w:rPr>
          <w:rFonts w:ascii="Times New Roman" w:hAnsi="Times New Roman" w:cs="Times New Roman"/>
          <w:i/>
        </w:rPr>
        <w:t>Logic Mode</w:t>
      </w:r>
      <w:r w:rsidRPr="002D6AE5">
        <w:rPr>
          <w:rFonts w:ascii="Times New Roman" w:hAnsi="Times New Roman" w:cs="Times New Roman"/>
        </w:rPr>
        <w:t>l</w:t>
      </w:r>
      <w:r>
        <w:t xml:space="preserve"> </w:t>
      </w:r>
      <w:r w:rsidRPr="002D6AE5">
        <w:rPr>
          <w:rFonts w:ascii="Times New Roman" w:hAnsi="Times New Roman" w:cs="Times New Roman"/>
        </w:rPr>
        <w:t xml:space="preserve">- </w:t>
      </w:r>
      <w:r w:rsidR="00532154" w:rsidRPr="00F95777">
        <w:rPr>
          <w:rFonts w:ascii="Times New Roman" w:hAnsi="Times New Roman" w:cs="Times New Roman"/>
        </w:rPr>
        <w:t xml:space="preserve">The logic model for the Wage Pathways program begins with screening CCMEP participants for suitability for WP.  WP is a </w:t>
      </w:r>
      <w:r w:rsidR="0017337F">
        <w:rPr>
          <w:rFonts w:ascii="Times New Roman" w:hAnsi="Times New Roman" w:cs="Times New Roman"/>
        </w:rPr>
        <w:t>conditional cash transfer</w:t>
      </w:r>
      <w:r w:rsidR="00532154" w:rsidRPr="00F95777">
        <w:rPr>
          <w:rFonts w:ascii="Times New Roman" w:hAnsi="Times New Roman" w:cs="Times New Roman"/>
        </w:rPr>
        <w:t xml:space="preserve"> program that emphasizes employment as the major program priority.  Youths from disadvantaged backgrounds and </w:t>
      </w:r>
      <w:r w:rsidR="0003790E" w:rsidRPr="00F95777">
        <w:rPr>
          <w:rFonts w:ascii="Times New Roman" w:hAnsi="Times New Roman" w:cs="Times New Roman"/>
        </w:rPr>
        <w:t xml:space="preserve">with </w:t>
      </w:r>
      <w:r w:rsidR="00532154" w:rsidRPr="00F95777">
        <w:rPr>
          <w:rFonts w:ascii="Times New Roman" w:hAnsi="Times New Roman" w:cs="Times New Roman"/>
        </w:rPr>
        <w:t>few marketable skills nonetheless need to support themselves, typically in conjunction with other transfer and social support programs such as TANF, SNAP, housing assistance and Prevention, Retention and Contingency (PRC) programs at ODJFS.</w:t>
      </w:r>
      <w:r w:rsidR="00532154" w:rsidRPr="00F95777">
        <w:rPr>
          <w:rStyle w:val="FootnoteReference"/>
          <w:rFonts w:ascii="Times New Roman" w:hAnsi="Times New Roman" w:cs="Times New Roman"/>
        </w:rPr>
        <w:footnoteReference w:id="26"/>
      </w:r>
    </w:p>
    <w:p w14:paraId="61091724" w14:textId="5A0F37FD" w:rsidR="00BE232A" w:rsidRDefault="00596E13" w:rsidP="00252759">
      <w:pPr>
        <w:spacing w:after="0"/>
        <w:jc w:val="both"/>
        <w:rPr>
          <w:rFonts w:ascii="Times New Roman" w:hAnsi="Times New Roman" w:cs="Times New Roman"/>
        </w:rPr>
      </w:pPr>
      <w:r>
        <w:rPr>
          <w:rFonts w:ascii="Times New Roman" w:hAnsi="Times New Roman" w:cs="Times New Roman"/>
        </w:rPr>
        <w:t xml:space="preserve">The </w:t>
      </w:r>
      <w:r w:rsidR="00BE232A">
        <w:rPr>
          <w:rFonts w:ascii="Times New Roman" w:hAnsi="Times New Roman" w:cs="Times New Roman"/>
        </w:rPr>
        <w:t>first step for Wage Pathways is having county case workers determine whether the presenting client is “work ready”, that is, is ready and willing to work 120 hours per month and participate in WP.  It is at this stage where “creaming,” if it happens, will manifest itself.</w:t>
      </w:r>
    </w:p>
    <w:p w14:paraId="14E3C7F8" w14:textId="77777777" w:rsidR="008212B0" w:rsidRDefault="008212B0" w:rsidP="00252759">
      <w:pPr>
        <w:spacing w:after="0"/>
        <w:jc w:val="both"/>
        <w:rPr>
          <w:rFonts w:ascii="Times New Roman" w:hAnsi="Times New Roman" w:cs="Times New Roman"/>
        </w:rPr>
      </w:pPr>
    </w:p>
    <w:p w14:paraId="5B955712" w14:textId="77777777" w:rsidR="00BE232A" w:rsidRDefault="00BE232A" w:rsidP="00AC6265">
      <w:pPr>
        <w:jc w:val="both"/>
        <w:rPr>
          <w:rFonts w:ascii="Times New Roman" w:hAnsi="Times New Roman" w:cs="Times New Roman"/>
        </w:rPr>
      </w:pPr>
      <w:r>
        <w:rPr>
          <w:rFonts w:ascii="Times New Roman" w:hAnsi="Times New Roman" w:cs="Times New Roman"/>
        </w:rPr>
        <w:t>The second step is for one (or more) of the following activities to take place to ready the client for work.  These are:</w:t>
      </w:r>
    </w:p>
    <w:p w14:paraId="223AB42F" w14:textId="4C45F9F0" w:rsidR="00226D2A" w:rsidRDefault="00BE232A" w:rsidP="00BE232A">
      <w:pPr>
        <w:pStyle w:val="ListParagraph"/>
        <w:numPr>
          <w:ilvl w:val="0"/>
          <w:numId w:val="7"/>
        </w:numPr>
        <w:jc w:val="both"/>
        <w:rPr>
          <w:rFonts w:ascii="Times New Roman" w:hAnsi="Times New Roman" w:cs="Times New Roman"/>
        </w:rPr>
      </w:pPr>
      <w:r>
        <w:rPr>
          <w:rFonts w:ascii="Times New Roman" w:hAnsi="Times New Roman" w:cs="Times New Roman"/>
        </w:rPr>
        <w:t>The case worker designs an approach for the client to overcome barriers to work.</w:t>
      </w:r>
    </w:p>
    <w:p w14:paraId="33924FC5" w14:textId="712AC678" w:rsidR="00BE232A" w:rsidRDefault="00BE232A" w:rsidP="00BE232A">
      <w:pPr>
        <w:pStyle w:val="ListParagraph"/>
        <w:numPr>
          <w:ilvl w:val="0"/>
          <w:numId w:val="7"/>
        </w:numPr>
        <w:jc w:val="both"/>
        <w:rPr>
          <w:rFonts w:ascii="Times New Roman" w:hAnsi="Times New Roman" w:cs="Times New Roman"/>
        </w:rPr>
      </w:pPr>
      <w:r>
        <w:rPr>
          <w:rFonts w:ascii="Times New Roman" w:hAnsi="Times New Roman" w:cs="Times New Roman"/>
        </w:rPr>
        <w:t>The youth gets short-term education or training.</w:t>
      </w:r>
    </w:p>
    <w:p w14:paraId="110CDB57" w14:textId="35A33865" w:rsidR="00BE232A" w:rsidRDefault="00BE232A" w:rsidP="00BE232A">
      <w:pPr>
        <w:pStyle w:val="ListParagraph"/>
        <w:numPr>
          <w:ilvl w:val="0"/>
          <w:numId w:val="7"/>
        </w:numPr>
        <w:jc w:val="both"/>
        <w:rPr>
          <w:rFonts w:ascii="Times New Roman" w:hAnsi="Times New Roman" w:cs="Times New Roman"/>
        </w:rPr>
      </w:pPr>
      <w:r>
        <w:rPr>
          <w:rFonts w:ascii="Times New Roman" w:hAnsi="Times New Roman" w:cs="Times New Roman"/>
        </w:rPr>
        <w:t>The youth gets job coaching and long-term guidance.</w:t>
      </w:r>
    </w:p>
    <w:p w14:paraId="51B74492" w14:textId="38884F13" w:rsidR="00BE232A" w:rsidRDefault="00BE232A" w:rsidP="00BE232A">
      <w:pPr>
        <w:pStyle w:val="ListParagraph"/>
        <w:numPr>
          <w:ilvl w:val="0"/>
          <w:numId w:val="7"/>
        </w:numPr>
        <w:jc w:val="both"/>
        <w:rPr>
          <w:rFonts w:ascii="Times New Roman" w:hAnsi="Times New Roman" w:cs="Times New Roman"/>
        </w:rPr>
      </w:pPr>
      <w:r>
        <w:rPr>
          <w:rFonts w:ascii="Times New Roman" w:hAnsi="Times New Roman" w:cs="Times New Roman"/>
        </w:rPr>
        <w:t>The youth gets social support to enable work continuity.</w:t>
      </w:r>
    </w:p>
    <w:p w14:paraId="604E5A47" w14:textId="2EE1CB2A" w:rsidR="00BE232A" w:rsidRPr="00BE232A" w:rsidRDefault="00BE232A" w:rsidP="00BE232A">
      <w:pPr>
        <w:ind w:left="53"/>
        <w:jc w:val="both"/>
        <w:rPr>
          <w:rFonts w:ascii="Times New Roman" w:hAnsi="Times New Roman" w:cs="Times New Roman"/>
        </w:rPr>
      </w:pPr>
      <w:r>
        <w:rPr>
          <w:rFonts w:ascii="Times New Roman" w:hAnsi="Times New Roman" w:cs="Times New Roman"/>
        </w:rPr>
        <w:t>The third step involves incentive payments that encourage job retention, wage growth and employment in in-demand occupations.</w:t>
      </w:r>
      <w:r w:rsidR="00252759">
        <w:rPr>
          <w:rFonts w:ascii="Times New Roman" w:hAnsi="Times New Roman" w:cs="Times New Roman"/>
        </w:rPr>
        <w:t xml:space="preserve">  These three steps will, it is hoped, help the youth attain self-sufficiency and stability.  </w:t>
      </w:r>
    </w:p>
    <w:p w14:paraId="411F2878" w14:textId="18A8E43D" w:rsidR="00BB350F" w:rsidRDefault="00BB350F" w:rsidP="00AC6265">
      <w:pPr>
        <w:jc w:val="both"/>
        <w:rPr>
          <w:rFonts w:ascii="Times New Roman" w:hAnsi="Times New Roman" w:cs="Times New Roman"/>
        </w:rPr>
      </w:pPr>
      <w:r>
        <w:rPr>
          <w:rFonts w:ascii="Times New Roman" w:hAnsi="Times New Roman" w:cs="Times New Roman"/>
        </w:rPr>
        <w:t>T</w:t>
      </w:r>
      <w:r w:rsidR="00252759">
        <w:rPr>
          <w:rFonts w:ascii="Times New Roman" w:hAnsi="Times New Roman" w:cs="Times New Roman"/>
        </w:rPr>
        <w:t>he four supporting actions in the second step</w:t>
      </w:r>
      <w:r>
        <w:rPr>
          <w:rFonts w:ascii="Times New Roman" w:hAnsi="Times New Roman" w:cs="Times New Roman"/>
        </w:rPr>
        <w:t xml:space="preserve"> aim to enhance the employment prospects of the client, ranging from skill accretion to support and services that allow the client to continue to hold his or her job(s).</w:t>
      </w:r>
      <w:r>
        <w:rPr>
          <w:rStyle w:val="FootnoteReference"/>
          <w:rFonts w:ascii="Times New Roman" w:hAnsi="Times New Roman" w:cs="Times New Roman"/>
        </w:rPr>
        <w:footnoteReference w:id="27"/>
      </w:r>
      <w:r w:rsidR="00AC2C6D">
        <w:rPr>
          <w:rFonts w:ascii="Times New Roman" w:hAnsi="Times New Roman" w:cs="Times New Roman"/>
        </w:rPr>
        <w:t xml:space="preserve">  These key activities only include those unique to WP.  The CCMEP participants from which county caseworkers recruit WP participants receive more services under CCMEP.  One may think of CCMEP as a </w:t>
      </w:r>
      <w:r w:rsidR="00AC2C6D" w:rsidRPr="00AC2C6D">
        <w:rPr>
          <w:rFonts w:ascii="Times New Roman" w:hAnsi="Times New Roman" w:cs="Times New Roman"/>
          <w:i/>
        </w:rPr>
        <w:t>wrap-around</w:t>
      </w:r>
      <w:r w:rsidR="00AC2C6D">
        <w:rPr>
          <w:rFonts w:ascii="Times New Roman" w:hAnsi="Times New Roman" w:cs="Times New Roman"/>
        </w:rPr>
        <w:t xml:space="preserve"> program in that it combines WIOA and TANF benefits with the caseworker handling both programs for the client.  For evaluation purposes, we </w:t>
      </w:r>
      <w:r w:rsidR="00246F6D">
        <w:rPr>
          <w:rFonts w:ascii="Times New Roman" w:hAnsi="Times New Roman" w:cs="Times New Roman"/>
        </w:rPr>
        <w:t xml:space="preserve">investigate the extent to which the WP </w:t>
      </w:r>
      <w:r w:rsidR="00246F6D">
        <w:rPr>
          <w:rFonts w:ascii="Times New Roman" w:hAnsi="Times New Roman" w:cs="Times New Roman"/>
        </w:rPr>
        <w:lastRenderedPageBreak/>
        <w:t xml:space="preserve">program improves outcomes relative to CCMEP alone.  The evaluation of CCMEP as mentioned </w:t>
      </w:r>
      <w:r w:rsidR="00B2779D">
        <w:rPr>
          <w:rFonts w:ascii="Times New Roman" w:hAnsi="Times New Roman" w:cs="Times New Roman"/>
        </w:rPr>
        <w:t xml:space="preserve">will </w:t>
      </w:r>
      <w:r w:rsidR="00246F6D">
        <w:rPr>
          <w:rFonts w:ascii="Times New Roman" w:hAnsi="Times New Roman" w:cs="Times New Roman"/>
        </w:rPr>
        <w:t>proceed on its own although the two evaluations will share many elements.</w:t>
      </w:r>
      <w:r w:rsidR="0064200E">
        <w:rPr>
          <w:rFonts w:ascii="Times New Roman" w:hAnsi="Times New Roman" w:cs="Times New Roman"/>
        </w:rPr>
        <w:t xml:space="preserve">  We may characterize this second column as program activities that directly impact the youth’s capabilities in the labor market – directing him or her toward short-term training, </w:t>
      </w:r>
      <w:r w:rsidR="00C73188">
        <w:rPr>
          <w:rFonts w:ascii="Times New Roman" w:hAnsi="Times New Roman" w:cs="Times New Roman"/>
        </w:rPr>
        <w:t xml:space="preserve">providing support so unfortunate events don’t force the youth to stop working, and </w:t>
      </w:r>
      <w:r w:rsidR="0064200E">
        <w:rPr>
          <w:rFonts w:ascii="Times New Roman" w:hAnsi="Times New Roman" w:cs="Times New Roman"/>
        </w:rPr>
        <w:t>providing coaching and mentoring to help the youth negotiate the labor market so they can build on what they have learned by working and direct that knowledge toward moving ahead in the labor market.</w:t>
      </w:r>
    </w:p>
    <w:p w14:paraId="636062AD" w14:textId="2D71FE8E" w:rsidR="003D04BD" w:rsidRDefault="003D04BD" w:rsidP="00AC6265">
      <w:pPr>
        <w:jc w:val="both"/>
        <w:rPr>
          <w:rFonts w:ascii="Times New Roman" w:hAnsi="Times New Roman" w:cs="Times New Roman"/>
        </w:rPr>
      </w:pPr>
      <w:r>
        <w:rPr>
          <w:rFonts w:ascii="Times New Roman" w:hAnsi="Times New Roman" w:cs="Times New Roman"/>
        </w:rPr>
        <w:t xml:space="preserve">The third </w:t>
      </w:r>
      <w:r w:rsidR="00252759">
        <w:rPr>
          <w:rFonts w:ascii="Times New Roman" w:hAnsi="Times New Roman" w:cs="Times New Roman"/>
        </w:rPr>
        <w:t xml:space="preserve">step is </w:t>
      </w:r>
      <w:r>
        <w:rPr>
          <w:rFonts w:ascii="Times New Roman" w:hAnsi="Times New Roman" w:cs="Times New Roman"/>
        </w:rPr>
        <w:t xml:space="preserve">the </w:t>
      </w:r>
      <w:r w:rsidRPr="003D04BD">
        <w:rPr>
          <w:rFonts w:ascii="Times New Roman" w:hAnsi="Times New Roman" w:cs="Times New Roman"/>
          <w:i/>
        </w:rPr>
        <w:t>incentive input</w:t>
      </w:r>
      <w:r>
        <w:rPr>
          <w:rFonts w:ascii="Times New Roman" w:hAnsi="Times New Roman" w:cs="Times New Roman"/>
          <w:i/>
        </w:rPr>
        <w:t xml:space="preserve"> </w:t>
      </w:r>
      <w:r>
        <w:rPr>
          <w:rFonts w:ascii="Times New Roman" w:hAnsi="Times New Roman" w:cs="Times New Roman"/>
        </w:rPr>
        <w:t>to the WP process, namely the cash awards participants can earn by meeting benchmark goals for the WP program.</w:t>
      </w:r>
      <w:r>
        <w:rPr>
          <w:rStyle w:val="FootnoteReference"/>
          <w:rFonts w:ascii="Times New Roman" w:hAnsi="Times New Roman" w:cs="Times New Roman"/>
        </w:rPr>
        <w:footnoteReference w:id="28"/>
      </w:r>
      <w:r>
        <w:rPr>
          <w:rFonts w:ascii="Times New Roman" w:hAnsi="Times New Roman" w:cs="Times New Roman"/>
        </w:rPr>
        <w:t xml:space="preserve">  </w:t>
      </w:r>
      <w:r w:rsidR="0064200E">
        <w:rPr>
          <w:rFonts w:ascii="Times New Roman" w:hAnsi="Times New Roman" w:cs="Times New Roman"/>
        </w:rPr>
        <w:t xml:space="preserve">We may characterize this third </w:t>
      </w:r>
      <w:r w:rsidR="00252759">
        <w:rPr>
          <w:rFonts w:ascii="Times New Roman" w:hAnsi="Times New Roman" w:cs="Times New Roman"/>
        </w:rPr>
        <w:t>step</w:t>
      </w:r>
      <w:r w:rsidR="0064200E">
        <w:rPr>
          <w:rFonts w:ascii="Times New Roman" w:hAnsi="Times New Roman" w:cs="Times New Roman"/>
        </w:rPr>
        <w:t xml:space="preserve"> as program features that provide the youth with incentives to do things that move them ahead in the labor market.  </w:t>
      </w:r>
      <w:r w:rsidR="00AC2C6D">
        <w:rPr>
          <w:rFonts w:ascii="Times New Roman" w:hAnsi="Times New Roman" w:cs="Times New Roman"/>
        </w:rPr>
        <w:t>Finally, the fourth column shows the outcome or impact of the program.</w:t>
      </w:r>
      <w:r w:rsidR="008212B0">
        <w:rPr>
          <w:rFonts w:ascii="Times New Roman" w:hAnsi="Times New Roman" w:cs="Times New Roman"/>
        </w:rPr>
        <w:t xml:space="preserve"> </w:t>
      </w:r>
      <w:r w:rsidR="00252759">
        <w:rPr>
          <w:rFonts w:ascii="Times New Roman" w:hAnsi="Times New Roman" w:cs="Times New Roman"/>
        </w:rPr>
        <w:t xml:space="preserve">  The time frame of WP is rather short, so one can hardly look at outcomes after only a year as evidence of self-sufficiency and stability.  We use data on earnings after Wage Pathways has started as evidence for or against </w:t>
      </w:r>
      <w:r w:rsidR="00AA04E5">
        <w:rPr>
          <w:rFonts w:ascii="Times New Roman" w:hAnsi="Times New Roman" w:cs="Times New Roman"/>
        </w:rPr>
        <w:t>the youth moving toward self-sufficiency and stability.  If WP results in eligible youths having greater earnings than ineligible youths, we take that as a sign the program is helping youths move toward self-sufficiency and stability.</w:t>
      </w:r>
    </w:p>
    <w:p w14:paraId="03B673F2" w14:textId="77777777" w:rsidR="00DE0B8C" w:rsidRPr="00DE0B8C" w:rsidRDefault="00DE0B8C" w:rsidP="00AC6265">
      <w:pPr>
        <w:pStyle w:val="Heading3"/>
        <w:jc w:val="both"/>
        <w:rPr>
          <w:rFonts w:ascii="Times New Roman" w:hAnsi="Times New Roman" w:cs="Times New Roman"/>
        </w:rPr>
      </w:pPr>
      <w:bookmarkStart w:id="25" w:name="_Toc20468478"/>
      <w:r>
        <w:rPr>
          <w:rFonts w:ascii="Times New Roman" w:hAnsi="Times New Roman" w:cs="Times New Roman"/>
        </w:rPr>
        <w:t>Measures of</w:t>
      </w:r>
      <w:r w:rsidRPr="00DE0B8C">
        <w:rPr>
          <w:rFonts w:ascii="Times New Roman" w:hAnsi="Times New Roman" w:cs="Times New Roman"/>
        </w:rPr>
        <w:t xml:space="preserve"> Education and Experience</w:t>
      </w:r>
      <w:bookmarkEnd w:id="25"/>
    </w:p>
    <w:p w14:paraId="098AD060" w14:textId="34CE6B60" w:rsidR="00B545E8" w:rsidRDefault="00C73188" w:rsidP="00AC6265">
      <w:pPr>
        <w:jc w:val="both"/>
        <w:rPr>
          <w:rFonts w:ascii="Times New Roman" w:hAnsi="Times New Roman" w:cs="Times New Roman"/>
        </w:rPr>
      </w:pPr>
      <w:r>
        <w:rPr>
          <w:rFonts w:ascii="Times New Roman" w:hAnsi="Times New Roman" w:cs="Times New Roman"/>
        </w:rPr>
        <w:t xml:space="preserve">The WP program does not feature extensive education or training for the client; rather, it </w:t>
      </w:r>
      <w:r w:rsidR="0017337F">
        <w:rPr>
          <w:rFonts w:ascii="Times New Roman" w:hAnsi="Times New Roman" w:cs="Times New Roman"/>
        </w:rPr>
        <w:t xml:space="preserve">uses incentive payments to encourage the youth to take actions that will move them </w:t>
      </w:r>
      <w:r>
        <w:rPr>
          <w:rFonts w:ascii="Times New Roman" w:hAnsi="Times New Roman" w:cs="Times New Roman"/>
        </w:rPr>
        <w:t xml:space="preserve">toward self-sufficiency.  This approach emphasizes helping youths find and keep a job as the pathway toward self-sufficiency.  </w:t>
      </w:r>
      <w:r w:rsidR="00B545E8">
        <w:rPr>
          <w:rFonts w:ascii="Times New Roman" w:hAnsi="Times New Roman" w:cs="Times New Roman"/>
        </w:rPr>
        <w:t xml:space="preserve">The efficacy of </w:t>
      </w:r>
      <w:r w:rsidR="00F01021">
        <w:rPr>
          <w:rFonts w:ascii="Times New Roman" w:hAnsi="Times New Roman" w:cs="Times New Roman"/>
        </w:rPr>
        <w:t xml:space="preserve">encouraging youths to take a job and work their way up </w:t>
      </w:r>
      <w:r w:rsidR="00B545E8">
        <w:rPr>
          <w:rFonts w:ascii="Times New Roman" w:hAnsi="Times New Roman" w:cs="Times New Roman"/>
        </w:rPr>
        <w:t>as an alternative to education and training depends upon the rate of return to experience.  As a minor digression, let us look at a bit of evidence on this matter using the administrative data we have assembled for Ohio.</w:t>
      </w:r>
    </w:p>
    <w:p w14:paraId="5248BFFE" w14:textId="10E3DAFF" w:rsidR="009E69B4" w:rsidRDefault="00B545E8" w:rsidP="002A0927">
      <w:pPr>
        <w:jc w:val="both"/>
        <w:rPr>
          <w:rFonts w:ascii="Times New Roman" w:hAnsi="Times New Roman" w:cs="Times New Roman"/>
        </w:rPr>
      </w:pPr>
      <w:r>
        <w:rPr>
          <w:rFonts w:ascii="Times New Roman" w:hAnsi="Times New Roman" w:cs="Times New Roman"/>
        </w:rPr>
        <w:t xml:space="preserve">We will explore two ways to investigate the rate of return to experience.  First, we will merge the BMV data with the UI Earnings data so our earnings data have age and gender.  Currently, we have no way to match in educational attainment to the </w:t>
      </w:r>
      <w:r w:rsidR="00793D9D">
        <w:rPr>
          <w:rFonts w:ascii="Times New Roman" w:hAnsi="Times New Roman" w:cs="Times New Roman"/>
        </w:rPr>
        <w:t>UI Earnings data except for ways that would systematically exclude youths like those in CCMEP</w:t>
      </w:r>
      <w:r w:rsidR="00DE0B8C">
        <w:rPr>
          <w:rStyle w:val="FootnoteReference"/>
          <w:rFonts w:ascii="Times New Roman" w:hAnsi="Times New Roman" w:cs="Times New Roman"/>
        </w:rPr>
        <w:footnoteReference w:id="29"/>
      </w:r>
      <w:r w:rsidR="00793D9D">
        <w:rPr>
          <w:rFonts w:ascii="Times New Roman" w:hAnsi="Times New Roman" w:cs="Times New Roman"/>
        </w:rPr>
        <w:t xml:space="preserve">.  Extracting data for everyone in the merged Ohio UI data born 1994-2000, we have 391,443 observations. Our regression </w:t>
      </w:r>
      <w:r w:rsidR="000F6B93">
        <w:rPr>
          <w:rFonts w:ascii="Times New Roman" w:hAnsi="Times New Roman" w:cs="Times New Roman"/>
        </w:rPr>
        <w:t>of the log of earnings on experience (Exp</w:t>
      </w:r>
      <w:r w:rsidR="0046720B">
        <w:rPr>
          <w:rFonts w:ascii="Times New Roman" w:hAnsi="Times New Roman" w:cs="Times New Roman"/>
        </w:rPr>
        <w:t xml:space="preserve"> – this variable is implemented </w:t>
      </w:r>
      <w:r w:rsidR="00264143">
        <w:rPr>
          <w:rFonts w:ascii="Times New Roman" w:hAnsi="Times New Roman" w:cs="Times New Roman"/>
        </w:rPr>
        <w:t>using</w:t>
      </w:r>
      <w:r w:rsidR="0046720B">
        <w:rPr>
          <w:rFonts w:ascii="Times New Roman" w:hAnsi="Times New Roman" w:cs="Times New Roman"/>
        </w:rPr>
        <w:t xml:space="preserve"> age</w:t>
      </w:r>
      <w:r w:rsidR="000F6B93">
        <w:rPr>
          <w:rFonts w:ascii="Times New Roman" w:hAnsi="Times New Roman" w:cs="Times New Roman"/>
        </w:rPr>
        <w:t>) and gender (</w:t>
      </w:r>
      <w:r w:rsidR="007E5295">
        <w:rPr>
          <w:rFonts w:ascii="Times New Roman" w:hAnsi="Times New Roman" w:cs="Times New Roman"/>
        </w:rPr>
        <w:t>1</w:t>
      </w:r>
      <w:r w:rsidR="000030FF">
        <w:rPr>
          <w:rFonts w:ascii="Times New Roman" w:hAnsi="Times New Roman" w:cs="Times New Roman"/>
        </w:rPr>
        <w:t xml:space="preserve"> for male, 2 for </w:t>
      </w:r>
      <w:r w:rsidR="007E5295">
        <w:rPr>
          <w:rFonts w:ascii="Times New Roman" w:hAnsi="Times New Roman" w:cs="Times New Roman"/>
        </w:rPr>
        <w:t>fe</w:t>
      </w:r>
      <w:r w:rsidR="000030FF">
        <w:rPr>
          <w:rFonts w:ascii="Times New Roman" w:hAnsi="Times New Roman" w:cs="Times New Roman"/>
        </w:rPr>
        <w:t>male</w:t>
      </w:r>
      <w:r w:rsidR="000F6B93">
        <w:rPr>
          <w:rFonts w:ascii="Times New Roman" w:hAnsi="Times New Roman" w:cs="Times New Roman"/>
        </w:rPr>
        <w:t xml:space="preserve">) </w:t>
      </w:r>
      <w:r w:rsidR="00793D9D">
        <w:rPr>
          <w:rFonts w:ascii="Times New Roman" w:hAnsi="Times New Roman" w:cs="Times New Roman"/>
        </w:rPr>
        <w:t>yields</w:t>
      </w:r>
    </w:p>
    <w:p w14:paraId="1055179F" w14:textId="77777777" w:rsidR="002A0927" w:rsidRDefault="002A0927" w:rsidP="002A0927">
      <w:pPr>
        <w:jc w:val="both"/>
        <w:rPr>
          <w:rFonts w:ascii="Times New Roman" w:hAnsi="Times New Roman" w:cs="Times New Roman"/>
        </w:rPr>
      </w:pPr>
    </w:p>
    <w:p w14:paraId="39137AB6" w14:textId="4BFA67C9" w:rsidR="002B1D0F" w:rsidRDefault="00793D9D" w:rsidP="002B1D0F">
      <w:pPr>
        <w:spacing w:after="0"/>
        <w:rPr>
          <w:rFonts w:ascii="Times New Roman" w:hAnsi="Times New Roman" w:cs="Times New Roman"/>
        </w:rPr>
      </w:pPr>
      <w:r>
        <w:rPr>
          <w:rFonts w:ascii="Times New Roman" w:hAnsi="Times New Roman" w:cs="Times New Roman"/>
        </w:rPr>
        <w:t xml:space="preserve">LnEarn = </w:t>
      </w:r>
      <w:r w:rsidR="00077A44">
        <w:rPr>
          <w:rFonts w:ascii="Times New Roman" w:hAnsi="Times New Roman" w:cs="Times New Roman"/>
        </w:rPr>
        <w:tab/>
      </w:r>
      <w:r>
        <w:rPr>
          <w:rFonts w:ascii="Times New Roman" w:hAnsi="Times New Roman" w:cs="Times New Roman"/>
        </w:rPr>
        <w:t>8.750  +</w:t>
      </w:r>
      <w:r w:rsidR="00077A44">
        <w:rPr>
          <w:rFonts w:ascii="Times New Roman" w:hAnsi="Times New Roman" w:cs="Times New Roman"/>
        </w:rPr>
        <w:t xml:space="preserve"> </w:t>
      </w:r>
      <w:r w:rsidR="00077A44">
        <w:rPr>
          <w:rFonts w:ascii="Times New Roman" w:hAnsi="Times New Roman" w:cs="Times New Roman"/>
        </w:rPr>
        <w:tab/>
      </w:r>
      <w:r>
        <w:rPr>
          <w:rFonts w:ascii="Times New Roman" w:hAnsi="Times New Roman" w:cs="Times New Roman"/>
        </w:rPr>
        <w:t xml:space="preserve">0.223Exp </w:t>
      </w:r>
      <w:r w:rsidR="000F6B93">
        <w:rPr>
          <w:rFonts w:ascii="Times New Roman" w:hAnsi="Times New Roman" w:cs="Times New Roman"/>
        </w:rPr>
        <w:t xml:space="preserve"> -</w:t>
      </w:r>
      <w:r w:rsidR="000F6B93">
        <w:rPr>
          <w:rFonts w:ascii="Times New Roman" w:hAnsi="Times New Roman" w:cs="Times New Roman"/>
        </w:rPr>
        <w:tab/>
      </w:r>
      <w:r>
        <w:rPr>
          <w:rFonts w:ascii="Times New Roman" w:hAnsi="Times New Roman" w:cs="Times New Roman"/>
        </w:rPr>
        <w:t xml:space="preserve"> </w:t>
      </w:r>
      <w:r w:rsidRPr="007E5295">
        <w:rPr>
          <w:rFonts w:ascii="Times New Roman" w:hAnsi="Times New Roman" w:cs="Times New Roman"/>
        </w:rPr>
        <w:t>0.182Gen</w:t>
      </w:r>
      <w:r w:rsidR="007E5295" w:rsidRPr="007E5295">
        <w:rPr>
          <w:rFonts w:ascii="Times New Roman" w:hAnsi="Times New Roman" w:cs="Times New Roman"/>
        </w:rPr>
        <w:t>der</w:t>
      </w:r>
    </w:p>
    <w:p w14:paraId="1E984438" w14:textId="033C3D97" w:rsidR="00077A44" w:rsidRDefault="00793D9D" w:rsidP="002B1D0F">
      <w:pPr>
        <w:spacing w:after="0"/>
        <w:ind w:left="2160" w:firstLine="720"/>
        <w:rPr>
          <w:rFonts w:ascii="Times New Roman" w:hAnsi="Times New Roman" w:cs="Times New Roman"/>
        </w:rPr>
      </w:pPr>
      <w:r>
        <w:rPr>
          <w:rFonts w:ascii="Times New Roman" w:hAnsi="Times New Roman" w:cs="Times New Roman"/>
        </w:rPr>
        <w:t xml:space="preserve"> (2137.05)</w:t>
      </w:r>
      <w:r>
        <w:rPr>
          <w:rFonts w:ascii="Times New Roman" w:hAnsi="Times New Roman" w:cs="Times New Roman"/>
        </w:rPr>
        <w:tab/>
        <w:t>(371.50)</w:t>
      </w:r>
      <w:r w:rsidR="000F6B93">
        <w:rPr>
          <w:rFonts w:ascii="Times New Roman" w:hAnsi="Times New Roman" w:cs="Times New Roman"/>
        </w:rPr>
        <w:tab/>
        <w:t>(88.44)</w:t>
      </w:r>
      <w:r w:rsidR="00077A44">
        <w:rPr>
          <w:rFonts w:ascii="Times New Roman" w:hAnsi="Times New Roman" w:cs="Times New Roman"/>
        </w:rPr>
        <w:t xml:space="preserve"> </w:t>
      </w:r>
    </w:p>
    <w:p w14:paraId="42766121" w14:textId="31C97EB6" w:rsidR="000F6B93" w:rsidRDefault="000F6B93" w:rsidP="000F6B93">
      <w:pPr>
        <w:spacing w:after="0" w:line="240" w:lineRule="auto"/>
        <w:rPr>
          <w:rFonts w:ascii="Times New Roman" w:hAnsi="Times New Roman" w:cs="Times New Roman"/>
        </w:rPr>
      </w:pPr>
      <w:r>
        <w:rPr>
          <w:rFonts w:ascii="Times New Roman" w:hAnsi="Times New Roman" w:cs="Times New Roman"/>
        </w:rPr>
        <w:t>R</w:t>
      </w:r>
      <w:r>
        <w:rPr>
          <w:rFonts w:ascii="Times New Roman" w:hAnsi="Times New Roman" w:cs="Times New Roman"/>
          <w:vertAlign w:val="superscript"/>
        </w:rPr>
        <w:t>2</w:t>
      </w:r>
      <w:r>
        <w:rPr>
          <w:rFonts w:ascii="Times New Roman" w:hAnsi="Times New Roman" w:cs="Times New Roman"/>
        </w:rPr>
        <w:t xml:space="preserve"> = 0.2753</w:t>
      </w:r>
    </w:p>
    <w:p w14:paraId="52790515" w14:textId="77777777" w:rsidR="000F6B93" w:rsidRDefault="000F6B93" w:rsidP="000F6B93">
      <w:pPr>
        <w:spacing w:after="0" w:line="240" w:lineRule="auto"/>
        <w:rPr>
          <w:rFonts w:ascii="Times New Roman" w:hAnsi="Times New Roman" w:cs="Times New Roman"/>
        </w:rPr>
      </w:pPr>
    </w:p>
    <w:p w14:paraId="07C4C528" w14:textId="3F7A4979" w:rsidR="000F6B93" w:rsidRPr="000F6B93" w:rsidRDefault="000F6B93" w:rsidP="00AC6265">
      <w:pPr>
        <w:jc w:val="both"/>
        <w:rPr>
          <w:rFonts w:ascii="Times New Roman" w:hAnsi="Times New Roman" w:cs="Times New Roman"/>
        </w:rPr>
      </w:pPr>
      <w:r>
        <w:rPr>
          <w:rFonts w:ascii="Times New Roman" w:hAnsi="Times New Roman" w:cs="Times New Roman"/>
        </w:rPr>
        <w:lastRenderedPageBreak/>
        <w:t xml:space="preserve">The numbers below the coefficients are the t-statistics.  The estimates are significant at any conventional significance level.  </w:t>
      </w:r>
      <w:r w:rsidR="00FD5A5A">
        <w:rPr>
          <w:rFonts w:ascii="Times New Roman" w:hAnsi="Times New Roman" w:cs="Times New Roman"/>
        </w:rPr>
        <w:t>A return to a year of experience of 22% is more than twice as large as the typical estimated return to a year of education.  This is the Mincerean return</w:t>
      </w:r>
      <w:r w:rsidR="00FD5A5A" w:rsidRPr="00054471">
        <w:rPr>
          <w:vertAlign w:val="superscript"/>
        </w:rPr>
        <w:footnoteReference w:id="30"/>
      </w:r>
      <w:r w:rsidR="00FD5A5A" w:rsidRPr="00054471">
        <w:rPr>
          <w:rFonts w:ascii="Times New Roman" w:hAnsi="Times New Roman" w:cs="Times New Roman"/>
          <w:vertAlign w:val="superscript"/>
        </w:rPr>
        <w:t xml:space="preserve"> </w:t>
      </w:r>
      <w:r w:rsidR="00FD5A5A">
        <w:rPr>
          <w:rFonts w:ascii="Times New Roman" w:hAnsi="Times New Roman" w:cs="Times New Roman"/>
        </w:rPr>
        <w:t xml:space="preserve">to experience, capturing the </w:t>
      </w:r>
      <w:r w:rsidR="00EA769F">
        <w:rPr>
          <w:rFonts w:ascii="Times New Roman" w:hAnsi="Times New Roman" w:cs="Times New Roman"/>
        </w:rPr>
        <w:t xml:space="preserve">sum of the </w:t>
      </w:r>
      <w:r w:rsidR="00FD5A5A">
        <w:rPr>
          <w:rFonts w:ascii="Times New Roman" w:hAnsi="Times New Roman" w:cs="Times New Roman"/>
        </w:rPr>
        <w:t>return</w:t>
      </w:r>
      <w:r w:rsidR="00EA769F">
        <w:rPr>
          <w:rFonts w:ascii="Times New Roman" w:hAnsi="Times New Roman" w:cs="Times New Roman"/>
        </w:rPr>
        <w:t>s</w:t>
      </w:r>
      <w:r w:rsidR="00FD5A5A">
        <w:rPr>
          <w:rFonts w:ascii="Times New Roman" w:hAnsi="Times New Roman" w:cs="Times New Roman"/>
        </w:rPr>
        <w:t xml:space="preserve"> to employer-specific experience and the return</w:t>
      </w:r>
      <w:r w:rsidR="00EA769F">
        <w:rPr>
          <w:rFonts w:ascii="Times New Roman" w:hAnsi="Times New Roman" w:cs="Times New Roman"/>
        </w:rPr>
        <w:t>s</w:t>
      </w:r>
      <w:r w:rsidR="00FD5A5A">
        <w:rPr>
          <w:rFonts w:ascii="Times New Roman" w:hAnsi="Times New Roman" w:cs="Times New Roman"/>
        </w:rPr>
        <w:t xml:space="preserve"> to general experience.  As a check on this number, we computed the return to experience in a second way.  Again looking at youths born 1994-2000, we focused on those youths who worked for the same employer for 13 weeks in </w:t>
      </w:r>
      <w:r w:rsidR="00EA769F">
        <w:rPr>
          <w:rFonts w:ascii="Times New Roman" w:hAnsi="Times New Roman" w:cs="Times New Roman"/>
        </w:rPr>
        <w:t xml:space="preserve">both of </w:t>
      </w:r>
      <w:r w:rsidR="00FD5A5A">
        <w:rPr>
          <w:rFonts w:ascii="Times New Roman" w:hAnsi="Times New Roman" w:cs="Times New Roman"/>
        </w:rPr>
        <w:t xml:space="preserve">two consecutive quarters and computed the rate of change in earnings with that employer from one quarter to </w:t>
      </w:r>
      <w:r w:rsidR="00EA769F">
        <w:rPr>
          <w:rFonts w:ascii="Times New Roman" w:hAnsi="Times New Roman" w:cs="Times New Roman"/>
        </w:rPr>
        <w:t>the next</w:t>
      </w:r>
      <w:r w:rsidR="00FD5A5A">
        <w:rPr>
          <w:rFonts w:ascii="Times New Roman" w:hAnsi="Times New Roman" w:cs="Times New Roman"/>
        </w:rPr>
        <w:t>.  We did this calculation for four consecutive quarters</w:t>
      </w:r>
      <w:r w:rsidR="004640B0" w:rsidRPr="00054471">
        <w:rPr>
          <w:vertAlign w:val="superscript"/>
        </w:rPr>
        <w:footnoteReference w:id="31"/>
      </w:r>
      <w:r w:rsidR="00FD5A5A">
        <w:rPr>
          <w:rFonts w:ascii="Times New Roman" w:hAnsi="Times New Roman" w:cs="Times New Roman"/>
        </w:rPr>
        <w:t xml:space="preserve"> to avoid seasonality</w:t>
      </w:r>
      <w:r w:rsidR="00EA769F">
        <w:rPr>
          <w:rFonts w:ascii="Times New Roman" w:hAnsi="Times New Roman" w:cs="Times New Roman"/>
        </w:rPr>
        <w:t xml:space="preserve">.  Over </w:t>
      </w:r>
      <w:r w:rsidR="000030FF">
        <w:rPr>
          <w:rFonts w:ascii="Times New Roman" w:hAnsi="Times New Roman" w:cs="Times New Roman"/>
        </w:rPr>
        <w:t xml:space="preserve">the </w:t>
      </w:r>
      <w:r w:rsidR="00EA769F">
        <w:rPr>
          <w:rFonts w:ascii="Times New Roman" w:hAnsi="Times New Roman" w:cs="Times New Roman"/>
        </w:rPr>
        <w:t>four quarters</w:t>
      </w:r>
      <w:r w:rsidR="000030FF">
        <w:rPr>
          <w:rFonts w:ascii="Times New Roman" w:hAnsi="Times New Roman" w:cs="Times New Roman"/>
        </w:rPr>
        <w:t xml:space="preserve"> from 2</w:t>
      </w:r>
      <w:r w:rsidR="000030FF" w:rsidRPr="000030FF">
        <w:rPr>
          <w:rFonts w:ascii="Times New Roman" w:hAnsi="Times New Roman" w:cs="Times New Roman"/>
          <w:vertAlign w:val="superscript"/>
        </w:rPr>
        <w:t>nd</w:t>
      </w:r>
      <w:r w:rsidR="000030FF">
        <w:rPr>
          <w:rFonts w:ascii="Times New Roman" w:hAnsi="Times New Roman" w:cs="Times New Roman"/>
        </w:rPr>
        <w:t xml:space="preserve"> </w:t>
      </w:r>
      <w:r w:rsidR="007B2BAC">
        <w:rPr>
          <w:rFonts w:ascii="Times New Roman" w:hAnsi="Times New Roman" w:cs="Times New Roman"/>
        </w:rPr>
        <w:t>Q</w:t>
      </w:r>
      <w:r w:rsidR="000030FF">
        <w:rPr>
          <w:rFonts w:ascii="Times New Roman" w:hAnsi="Times New Roman" w:cs="Times New Roman"/>
        </w:rPr>
        <w:t>uarter 2016 through 1</w:t>
      </w:r>
      <w:r w:rsidR="000030FF" w:rsidRPr="000030FF">
        <w:rPr>
          <w:rFonts w:ascii="Times New Roman" w:hAnsi="Times New Roman" w:cs="Times New Roman"/>
          <w:vertAlign w:val="superscript"/>
        </w:rPr>
        <w:t>st</w:t>
      </w:r>
      <w:r w:rsidR="000030FF">
        <w:rPr>
          <w:rFonts w:ascii="Times New Roman" w:hAnsi="Times New Roman" w:cs="Times New Roman"/>
        </w:rPr>
        <w:t xml:space="preserve"> </w:t>
      </w:r>
      <w:r w:rsidR="007B2BAC">
        <w:rPr>
          <w:rFonts w:ascii="Times New Roman" w:hAnsi="Times New Roman" w:cs="Times New Roman"/>
        </w:rPr>
        <w:t>Q</w:t>
      </w:r>
      <w:r w:rsidR="000030FF">
        <w:rPr>
          <w:rFonts w:ascii="Times New Roman" w:hAnsi="Times New Roman" w:cs="Times New Roman"/>
        </w:rPr>
        <w:t>uarter 2017</w:t>
      </w:r>
      <w:r w:rsidR="00EA769F">
        <w:rPr>
          <w:rFonts w:ascii="Times New Roman" w:hAnsi="Times New Roman" w:cs="Times New Roman"/>
        </w:rPr>
        <w:t xml:space="preserve">, the estimated rate of return to employer-specific experience was 14%.  </w:t>
      </w:r>
    </w:p>
    <w:p w14:paraId="22CC50CC" w14:textId="32E719ED" w:rsidR="004640B0" w:rsidRPr="003D04BD" w:rsidRDefault="004640B0" w:rsidP="00AC6265">
      <w:pPr>
        <w:jc w:val="both"/>
        <w:rPr>
          <w:rFonts w:ascii="Times New Roman" w:hAnsi="Times New Roman" w:cs="Times New Roman"/>
        </w:rPr>
      </w:pPr>
      <w:r>
        <w:rPr>
          <w:rFonts w:ascii="Times New Roman" w:hAnsi="Times New Roman" w:cs="Times New Roman"/>
        </w:rPr>
        <w:t xml:space="preserve">With either measure, it appears young workers enjoy a substantial return to experience, making </w:t>
      </w:r>
      <w:r w:rsidR="00264143">
        <w:rPr>
          <w:rFonts w:ascii="Times New Roman" w:hAnsi="Times New Roman" w:cs="Times New Roman"/>
        </w:rPr>
        <w:t>the use of incentives to encourage youths to find and hold a job</w:t>
      </w:r>
      <w:r>
        <w:rPr>
          <w:rFonts w:ascii="Times New Roman" w:hAnsi="Times New Roman" w:cs="Times New Roman"/>
        </w:rPr>
        <w:t xml:space="preserve"> a viable short-term strategy</w:t>
      </w:r>
      <w:r w:rsidR="00264143">
        <w:rPr>
          <w:rFonts w:ascii="Times New Roman" w:hAnsi="Times New Roman" w:cs="Times New Roman"/>
        </w:rPr>
        <w:t xml:space="preserve"> to move toward self-sufficiency</w:t>
      </w:r>
      <w:r>
        <w:rPr>
          <w:rFonts w:ascii="Times New Roman" w:hAnsi="Times New Roman" w:cs="Times New Roman"/>
        </w:rPr>
        <w:t xml:space="preserve">.  We suspect a longer-term look at these data will show these high rates of return to experience will not </w:t>
      </w:r>
      <w:r w:rsidR="007E5295">
        <w:rPr>
          <w:rFonts w:ascii="Times New Roman" w:hAnsi="Times New Roman" w:cs="Times New Roman"/>
        </w:rPr>
        <w:t>persist</w:t>
      </w:r>
      <w:r>
        <w:rPr>
          <w:rFonts w:ascii="Times New Roman" w:hAnsi="Times New Roman" w:cs="Times New Roman"/>
        </w:rPr>
        <w:t>.  In addition, we suspect the return to experience will also be an increasing function of education.  In the longer term, a high return to experience in the teens and early twenties will not dominate the well-known earnings premium that inures to more education.</w:t>
      </w:r>
    </w:p>
    <w:p w14:paraId="13445D9B" w14:textId="77777777" w:rsidR="00C04BD3" w:rsidRPr="00FC13C4" w:rsidRDefault="00C04BD3" w:rsidP="00FC13C4">
      <w:pPr>
        <w:pStyle w:val="Heading4"/>
        <w:rPr>
          <w:rFonts w:ascii="Times New Roman" w:hAnsi="Times New Roman" w:cs="Times New Roman"/>
        </w:rPr>
      </w:pPr>
      <w:r w:rsidRPr="00FC13C4">
        <w:rPr>
          <w:rFonts w:ascii="Times New Roman" w:hAnsi="Times New Roman" w:cs="Times New Roman"/>
        </w:rPr>
        <w:t>Methods</w:t>
      </w:r>
    </w:p>
    <w:p w14:paraId="40C7BF54" w14:textId="77777777" w:rsidR="003110C1" w:rsidRDefault="003110C1" w:rsidP="00FC13C4">
      <w:pPr>
        <w:pStyle w:val="Heading5"/>
        <w:rPr>
          <w:rFonts w:ascii="Times New Roman" w:hAnsi="Times New Roman" w:cs="Times New Roman"/>
          <w:u w:val="single"/>
        </w:rPr>
      </w:pPr>
      <w:r w:rsidRPr="009C4F98">
        <w:tab/>
      </w:r>
      <w:r w:rsidRPr="007877C2">
        <w:rPr>
          <w:rFonts w:ascii="Times New Roman" w:hAnsi="Times New Roman" w:cs="Times New Roman"/>
          <w:u w:val="single"/>
        </w:rPr>
        <w:t>Pseudo Randomization</w:t>
      </w:r>
    </w:p>
    <w:p w14:paraId="4A03BFF3" w14:textId="77777777" w:rsidR="00094991" w:rsidRPr="00094991" w:rsidRDefault="00094991" w:rsidP="00AC6265">
      <w:pPr>
        <w:jc w:val="both"/>
        <w:rPr>
          <w:rFonts w:ascii="Times New Roman" w:hAnsi="Times New Roman" w:cs="Times New Roman"/>
        </w:rPr>
      </w:pPr>
      <w:r w:rsidRPr="00094991">
        <w:rPr>
          <w:rFonts w:ascii="Times New Roman" w:hAnsi="Times New Roman" w:cs="Times New Roman"/>
        </w:rPr>
        <w:t>At various points above in this report, we have discussed the chosen strategy of pseudo-ran</w:t>
      </w:r>
      <w:r>
        <w:rPr>
          <w:rFonts w:ascii="Times New Roman" w:hAnsi="Times New Roman" w:cs="Times New Roman"/>
        </w:rPr>
        <w:t>d</w:t>
      </w:r>
      <w:r w:rsidRPr="00094991">
        <w:rPr>
          <w:rFonts w:ascii="Times New Roman" w:hAnsi="Times New Roman" w:cs="Times New Roman"/>
        </w:rPr>
        <w:t>omization</w:t>
      </w:r>
      <w:r>
        <w:rPr>
          <w:rFonts w:ascii="Times New Roman" w:hAnsi="Times New Roman" w:cs="Times New Roman"/>
        </w:rPr>
        <w:t xml:space="preserve"> by selecting a limited number of counties to host WP rather than randomizing at the individual level.  While randomizing at the individual level would have been the better strategy from an econometric perspective, we have tried to incorporate features into the analysis that would attenuate that disadvantage.</w:t>
      </w:r>
    </w:p>
    <w:p w14:paraId="0CE79D3B" w14:textId="77777777" w:rsidR="007877C2" w:rsidRDefault="007877C2" w:rsidP="007877C2">
      <w:pPr>
        <w:pStyle w:val="Heading5"/>
        <w:ind w:left="720"/>
        <w:rPr>
          <w:rFonts w:ascii="Times New Roman" w:hAnsi="Times New Roman" w:cs="Times New Roman"/>
          <w:u w:val="single"/>
        </w:rPr>
      </w:pPr>
      <w:r w:rsidRPr="007877C2">
        <w:rPr>
          <w:rFonts w:ascii="Times New Roman" w:hAnsi="Times New Roman" w:cs="Times New Roman"/>
          <w:u w:val="single"/>
        </w:rPr>
        <w:t xml:space="preserve">Controlling for Labor Market Differences </w:t>
      </w:r>
    </w:p>
    <w:p w14:paraId="2C878CA5" w14:textId="66A51B5B" w:rsidR="006840E4" w:rsidRDefault="006840E4" w:rsidP="00AC6265">
      <w:pPr>
        <w:jc w:val="both"/>
        <w:rPr>
          <w:rFonts w:ascii="Times New Roman" w:hAnsi="Times New Roman" w:cs="Times New Roman"/>
        </w:rPr>
      </w:pPr>
      <w:r w:rsidRPr="006840E4">
        <w:rPr>
          <w:rFonts w:ascii="Times New Roman" w:hAnsi="Times New Roman" w:cs="Times New Roman"/>
        </w:rPr>
        <w:t xml:space="preserve">One of our major concerns with the strategy of pseudo randomization by county was that </w:t>
      </w:r>
      <w:r w:rsidR="00F97C3B">
        <w:rPr>
          <w:rFonts w:ascii="Times New Roman" w:hAnsi="Times New Roman" w:cs="Times New Roman"/>
        </w:rPr>
        <w:t xml:space="preserve">it resulted in </w:t>
      </w:r>
      <w:r w:rsidRPr="006840E4">
        <w:rPr>
          <w:rFonts w:ascii="Times New Roman" w:hAnsi="Times New Roman" w:cs="Times New Roman"/>
        </w:rPr>
        <w:t xml:space="preserve">four of the WP counties </w:t>
      </w:r>
      <w:r w:rsidR="00F97C3B">
        <w:rPr>
          <w:rFonts w:ascii="Times New Roman" w:hAnsi="Times New Roman" w:cs="Times New Roman"/>
        </w:rPr>
        <w:t xml:space="preserve">being </w:t>
      </w:r>
      <w:r w:rsidRPr="006840E4">
        <w:rPr>
          <w:rFonts w:ascii="Times New Roman" w:hAnsi="Times New Roman" w:cs="Times New Roman"/>
        </w:rPr>
        <w:t>in the northern part of the state, three of whom were in the same ODJFS-defined labor market</w:t>
      </w:r>
      <w:r w:rsidR="00F97C3B">
        <w:rPr>
          <w:rFonts w:ascii="Times New Roman" w:hAnsi="Times New Roman" w:cs="Times New Roman"/>
        </w:rPr>
        <w:t>.  The</w:t>
      </w:r>
      <w:r w:rsidRPr="006840E4">
        <w:rPr>
          <w:rFonts w:ascii="Times New Roman" w:hAnsi="Times New Roman" w:cs="Times New Roman"/>
        </w:rPr>
        <w:t xml:space="preserve"> fifth WP county </w:t>
      </w:r>
      <w:r w:rsidR="00266C94">
        <w:rPr>
          <w:rFonts w:ascii="Times New Roman" w:hAnsi="Times New Roman" w:cs="Times New Roman"/>
        </w:rPr>
        <w:t xml:space="preserve">(Hamilton </w:t>
      </w:r>
      <w:r w:rsidR="00F97C3B">
        <w:rPr>
          <w:rFonts w:ascii="Times New Roman" w:hAnsi="Times New Roman" w:cs="Times New Roman"/>
        </w:rPr>
        <w:t>in southeast Ohio</w:t>
      </w:r>
      <w:r w:rsidR="00266C94">
        <w:rPr>
          <w:rFonts w:ascii="Times New Roman" w:hAnsi="Times New Roman" w:cs="Times New Roman"/>
        </w:rPr>
        <w:t>)</w:t>
      </w:r>
      <w:r w:rsidR="00F97C3B">
        <w:rPr>
          <w:rFonts w:ascii="Times New Roman" w:hAnsi="Times New Roman" w:cs="Times New Roman"/>
        </w:rPr>
        <w:t xml:space="preserve"> </w:t>
      </w:r>
      <w:r w:rsidRPr="006840E4">
        <w:rPr>
          <w:rFonts w:ascii="Times New Roman" w:hAnsi="Times New Roman" w:cs="Times New Roman"/>
        </w:rPr>
        <w:t xml:space="preserve">started its implementation of WP so late that by the time the evaluation report was due we would not have time to observe </w:t>
      </w:r>
      <w:r w:rsidR="00F97C3B">
        <w:rPr>
          <w:rFonts w:ascii="Times New Roman" w:hAnsi="Times New Roman" w:cs="Times New Roman"/>
        </w:rPr>
        <w:t xml:space="preserve">earnings on the WP eligibles in Hamilton </w:t>
      </w:r>
      <w:r w:rsidR="00F75F1C">
        <w:rPr>
          <w:rFonts w:ascii="Times New Roman" w:hAnsi="Times New Roman" w:cs="Times New Roman"/>
        </w:rPr>
        <w:t>C</w:t>
      </w:r>
      <w:r w:rsidR="00F97C3B">
        <w:rPr>
          <w:rFonts w:ascii="Times New Roman" w:hAnsi="Times New Roman" w:cs="Times New Roman"/>
        </w:rPr>
        <w:t>ounty for at least four quarters post-onset.  Given the serious seasonality in the administrative data, the short post-onset period could confound the analysis.</w:t>
      </w:r>
    </w:p>
    <w:p w14:paraId="672B4FDC" w14:textId="77777777" w:rsidR="00F97C3B" w:rsidRDefault="00F97C3B" w:rsidP="00AC6265">
      <w:pPr>
        <w:jc w:val="both"/>
        <w:rPr>
          <w:rFonts w:ascii="Times New Roman" w:hAnsi="Times New Roman" w:cs="Times New Roman"/>
        </w:rPr>
      </w:pPr>
      <w:r>
        <w:rPr>
          <w:rFonts w:ascii="Times New Roman" w:hAnsi="Times New Roman" w:cs="Times New Roman"/>
        </w:rPr>
        <w:t xml:space="preserve">If labor market conditions differ markedly for CCMEP youths in WP-eligible versus WP-ineligible counties, we could misattribute the effect of these differences labor market conditions to the effect of the WP program.  </w:t>
      </w:r>
      <w:r w:rsidR="004471A7">
        <w:rPr>
          <w:rFonts w:ascii="Times New Roman" w:hAnsi="Times New Roman" w:cs="Times New Roman"/>
        </w:rPr>
        <w:t>To attenuate this possible source of error, we used the statewide administrative data to attempt to determine whether there were differences in the labor market conditions facing youths across the nine ODJFS-defined labor markets and, if there were, use these as regressors in our difference-in-difference estimation to take these differences into account.</w:t>
      </w:r>
    </w:p>
    <w:p w14:paraId="03A3946D" w14:textId="77777777" w:rsidR="00156059" w:rsidRDefault="00156059" w:rsidP="00AC6265">
      <w:pPr>
        <w:jc w:val="both"/>
        <w:rPr>
          <w:rFonts w:ascii="Times New Roman" w:hAnsi="Times New Roman" w:cs="Times New Roman"/>
        </w:rPr>
      </w:pPr>
      <w:r>
        <w:rPr>
          <w:rFonts w:ascii="Times New Roman" w:hAnsi="Times New Roman" w:cs="Times New Roman"/>
        </w:rPr>
        <w:t xml:space="preserve">To investigate labor market differences faced by youths, we merged the UI Earnings data with the BMV records so that, for each UI Earnings record, we had month and year of birth, gender and county of residence.  From this universe, we discarded everyone not born 1994-2000, everyone who had enrolled in </w:t>
      </w:r>
      <w:r>
        <w:rPr>
          <w:rFonts w:ascii="Times New Roman" w:hAnsi="Times New Roman" w:cs="Times New Roman"/>
        </w:rPr>
        <w:lastRenderedPageBreak/>
        <w:t>CCMEP</w:t>
      </w:r>
      <w:r>
        <w:rPr>
          <w:rStyle w:val="FootnoteReference"/>
          <w:rFonts w:ascii="Times New Roman" w:hAnsi="Times New Roman" w:cs="Times New Roman"/>
        </w:rPr>
        <w:footnoteReference w:id="32"/>
      </w:r>
      <w:r>
        <w:rPr>
          <w:rFonts w:ascii="Times New Roman" w:hAnsi="Times New Roman" w:cs="Times New Roman"/>
        </w:rPr>
        <w:t xml:space="preserve">, and everyone who had a record in the OLDA Higher Education file.  We made this latter exclusion because, as Table 3 above shows, CCMEP enrollees mostly have a high school diploma or less.  </w:t>
      </w:r>
    </w:p>
    <w:p w14:paraId="3581C37C" w14:textId="3A40BBF6" w:rsidR="008D13BC" w:rsidRDefault="006B73D3" w:rsidP="00AC6265">
      <w:pPr>
        <w:jc w:val="both"/>
        <w:rPr>
          <w:rFonts w:ascii="Times New Roman" w:hAnsi="Times New Roman" w:cs="Times New Roman"/>
        </w:rPr>
      </w:pPr>
      <w:r>
        <w:rPr>
          <w:rFonts w:ascii="Times New Roman" w:hAnsi="Times New Roman" w:cs="Times New Roman"/>
        </w:rPr>
        <w:t xml:space="preserve">Using this synthetic comparison group, we constructed </w:t>
      </w:r>
      <w:r w:rsidR="00356304">
        <w:rPr>
          <w:rFonts w:ascii="Times New Roman" w:hAnsi="Times New Roman" w:cs="Times New Roman"/>
        </w:rPr>
        <w:t>three</w:t>
      </w:r>
      <w:r>
        <w:rPr>
          <w:rFonts w:ascii="Times New Roman" w:hAnsi="Times New Roman" w:cs="Times New Roman"/>
        </w:rPr>
        <w:t xml:space="preserve"> measures. </w:t>
      </w:r>
      <w:r w:rsidR="00356304">
        <w:rPr>
          <w:rFonts w:ascii="Times New Roman" w:hAnsi="Times New Roman" w:cs="Times New Roman"/>
        </w:rPr>
        <w:t xml:space="preserve"> </w:t>
      </w:r>
      <w:r>
        <w:rPr>
          <w:rFonts w:ascii="Times New Roman" w:hAnsi="Times New Roman" w:cs="Times New Roman"/>
        </w:rPr>
        <w:t>First, we computed the return to firm-specific experience for youths who had worked for the same employer for 13 weeks for both of two consecutive quarters, averaged over the period from 2</w:t>
      </w:r>
      <w:r w:rsidRPr="006B73D3">
        <w:rPr>
          <w:rFonts w:ascii="Times New Roman" w:hAnsi="Times New Roman" w:cs="Times New Roman"/>
          <w:vertAlign w:val="superscript"/>
        </w:rPr>
        <w:t>nd</w:t>
      </w:r>
      <w:r>
        <w:rPr>
          <w:rFonts w:ascii="Times New Roman" w:hAnsi="Times New Roman" w:cs="Times New Roman"/>
        </w:rPr>
        <w:t xml:space="preserve"> </w:t>
      </w:r>
      <w:r w:rsidR="00631A60">
        <w:rPr>
          <w:rFonts w:ascii="Times New Roman" w:hAnsi="Times New Roman" w:cs="Times New Roman"/>
        </w:rPr>
        <w:t>Q</w:t>
      </w:r>
      <w:r>
        <w:rPr>
          <w:rFonts w:ascii="Times New Roman" w:hAnsi="Times New Roman" w:cs="Times New Roman"/>
        </w:rPr>
        <w:t>uarter 2016 through 1</w:t>
      </w:r>
      <w:r w:rsidRPr="006B73D3">
        <w:rPr>
          <w:rFonts w:ascii="Times New Roman" w:hAnsi="Times New Roman" w:cs="Times New Roman"/>
          <w:vertAlign w:val="superscript"/>
        </w:rPr>
        <w:t>st</w:t>
      </w:r>
      <w:r>
        <w:rPr>
          <w:rFonts w:ascii="Times New Roman" w:hAnsi="Times New Roman" w:cs="Times New Roman"/>
        </w:rPr>
        <w:t xml:space="preserve"> </w:t>
      </w:r>
      <w:r w:rsidR="00631A60">
        <w:rPr>
          <w:rFonts w:ascii="Times New Roman" w:hAnsi="Times New Roman" w:cs="Times New Roman"/>
        </w:rPr>
        <w:t>Q</w:t>
      </w:r>
      <w:r>
        <w:rPr>
          <w:rFonts w:ascii="Times New Roman" w:hAnsi="Times New Roman" w:cs="Times New Roman"/>
        </w:rPr>
        <w:t xml:space="preserve">uarter 2017.  </w:t>
      </w:r>
      <w:r w:rsidR="00266C94" w:rsidRPr="00266C94">
        <w:rPr>
          <w:rFonts w:ascii="Times New Roman" w:hAnsi="Times New Roman" w:cs="Times New Roman"/>
        </w:rPr>
        <w:t>Second,</w:t>
      </w:r>
      <w:r w:rsidR="00266C94">
        <w:rPr>
          <w:rFonts w:ascii="Times New Roman" w:hAnsi="Times New Roman" w:cs="Times New Roman"/>
        </w:rPr>
        <w:t xml:space="preserve"> we examined, for each labor market, the prevalence of youths working in industries that employ most youths to determine whether opportunities in those industries varies.  In Table </w:t>
      </w:r>
      <w:r w:rsidR="00883191">
        <w:rPr>
          <w:rFonts w:ascii="Times New Roman" w:hAnsi="Times New Roman" w:cs="Times New Roman"/>
        </w:rPr>
        <w:t>7</w:t>
      </w:r>
      <w:r w:rsidR="00266C94">
        <w:rPr>
          <w:rFonts w:ascii="Times New Roman" w:hAnsi="Times New Roman" w:cs="Times New Roman"/>
        </w:rPr>
        <w:t>, below, we compare the industry of employment using data from CCMEP youth taking our survey versus</w:t>
      </w:r>
      <w:r w:rsidR="00C11B60">
        <w:rPr>
          <w:rFonts w:ascii="Times New Roman" w:hAnsi="Times New Roman" w:cs="Times New Roman"/>
        </w:rPr>
        <w:t xml:space="preserve"> the industry for the primary employers of all UI covered workers.</w:t>
      </w:r>
      <w:r w:rsidR="00356304">
        <w:rPr>
          <w:rFonts w:ascii="Times New Roman" w:hAnsi="Times New Roman" w:cs="Times New Roman"/>
        </w:rPr>
        <w:t xml:space="preserve">  This illustrates the disproportionate role some industries play in employing youths.</w:t>
      </w:r>
    </w:p>
    <w:p w14:paraId="4E353421" w14:textId="77777777" w:rsidR="000030FF" w:rsidRDefault="000030FF">
      <w:pPr>
        <w:rPr>
          <w:rFonts w:ascii="Times New Roman" w:hAnsi="Times New Roman" w:cs="Times New Roman"/>
        </w:rPr>
      </w:pPr>
    </w:p>
    <w:p w14:paraId="6A1DA5C9" w14:textId="5BBEC29F" w:rsidR="00C11B60" w:rsidRDefault="00C11B60" w:rsidP="00C11B60">
      <w:pPr>
        <w:spacing w:after="0"/>
        <w:jc w:val="center"/>
        <w:rPr>
          <w:rFonts w:ascii="Times New Roman" w:hAnsi="Times New Roman" w:cs="Times New Roman"/>
        </w:rPr>
      </w:pPr>
      <w:r>
        <w:rPr>
          <w:rFonts w:ascii="Times New Roman" w:hAnsi="Times New Roman" w:cs="Times New Roman"/>
        </w:rPr>
        <w:t xml:space="preserve">Table </w:t>
      </w:r>
      <w:r w:rsidR="00883191">
        <w:rPr>
          <w:rFonts w:ascii="Times New Roman" w:hAnsi="Times New Roman" w:cs="Times New Roman"/>
        </w:rPr>
        <w:t>7</w:t>
      </w:r>
    </w:p>
    <w:p w14:paraId="0E6DFB05" w14:textId="77777777" w:rsidR="00C11B60" w:rsidRDefault="00C11B60" w:rsidP="00C11B60">
      <w:pPr>
        <w:spacing w:after="0"/>
        <w:jc w:val="center"/>
        <w:rPr>
          <w:rFonts w:ascii="Times New Roman" w:hAnsi="Times New Roman" w:cs="Times New Roman"/>
        </w:rPr>
      </w:pPr>
      <w:r>
        <w:rPr>
          <w:rFonts w:ascii="Times New Roman" w:hAnsi="Times New Roman" w:cs="Times New Roman"/>
        </w:rPr>
        <w:t>Relative Concentration of Youth in Eight Industries</w:t>
      </w:r>
    </w:p>
    <w:tbl>
      <w:tblPr>
        <w:tblStyle w:val="TableGrid"/>
        <w:tblW w:w="0" w:type="auto"/>
        <w:tblInd w:w="956" w:type="dxa"/>
        <w:tblLook w:val="04A0" w:firstRow="1" w:lastRow="0" w:firstColumn="1" w:lastColumn="0" w:noHBand="0" w:noVBand="1"/>
        <w:tblCaption w:val="Employment by industry"/>
        <w:tblDescription w:val="This table shows for industry codes employing a high proportion of youths how that prroportion for youths compares with the proportion for all workers in Ohio"/>
      </w:tblPr>
      <w:tblGrid>
        <w:gridCol w:w="681"/>
        <w:gridCol w:w="3351"/>
        <w:gridCol w:w="1870"/>
        <w:gridCol w:w="1870"/>
      </w:tblGrid>
      <w:tr w:rsidR="00C11B60" w14:paraId="79642E8F" w14:textId="77777777" w:rsidTr="00FF1679">
        <w:trPr>
          <w:tblHeader/>
        </w:trPr>
        <w:tc>
          <w:tcPr>
            <w:tcW w:w="681" w:type="dxa"/>
          </w:tcPr>
          <w:p w14:paraId="4B6D8D90" w14:textId="77777777" w:rsidR="00C11B60" w:rsidRDefault="00C11B60" w:rsidP="00356304">
            <w:pPr>
              <w:jc w:val="center"/>
              <w:rPr>
                <w:rFonts w:ascii="Times New Roman" w:hAnsi="Times New Roman" w:cs="Times New Roman"/>
              </w:rPr>
            </w:pPr>
            <w:r>
              <w:rPr>
                <w:rFonts w:ascii="Times New Roman" w:hAnsi="Times New Roman" w:cs="Times New Roman"/>
              </w:rPr>
              <w:t>NAICS Code</w:t>
            </w:r>
          </w:p>
        </w:tc>
        <w:tc>
          <w:tcPr>
            <w:tcW w:w="3351" w:type="dxa"/>
          </w:tcPr>
          <w:p w14:paraId="44DCBC0E" w14:textId="77777777" w:rsidR="00C11B60" w:rsidRDefault="00C11B60" w:rsidP="00356304">
            <w:pPr>
              <w:jc w:val="center"/>
              <w:rPr>
                <w:rFonts w:ascii="Times New Roman" w:hAnsi="Times New Roman" w:cs="Times New Roman"/>
              </w:rPr>
            </w:pPr>
            <w:r>
              <w:rPr>
                <w:rFonts w:ascii="Times New Roman" w:hAnsi="Times New Roman" w:cs="Times New Roman"/>
              </w:rPr>
              <w:t>Description</w:t>
            </w:r>
          </w:p>
        </w:tc>
        <w:tc>
          <w:tcPr>
            <w:tcW w:w="1870" w:type="dxa"/>
          </w:tcPr>
          <w:p w14:paraId="632750C2" w14:textId="77777777" w:rsidR="00C11B60" w:rsidRDefault="00C11B60" w:rsidP="00356304">
            <w:pPr>
              <w:jc w:val="center"/>
              <w:rPr>
                <w:rFonts w:ascii="Times New Roman" w:hAnsi="Times New Roman" w:cs="Times New Roman"/>
              </w:rPr>
            </w:pPr>
            <w:r>
              <w:rPr>
                <w:rFonts w:ascii="Times New Roman" w:hAnsi="Times New Roman" w:cs="Times New Roman"/>
              </w:rPr>
              <w:t>CCMEP Survey</w:t>
            </w:r>
          </w:p>
        </w:tc>
        <w:tc>
          <w:tcPr>
            <w:tcW w:w="1870" w:type="dxa"/>
          </w:tcPr>
          <w:p w14:paraId="7651FCFD" w14:textId="77777777" w:rsidR="00C11B60" w:rsidRDefault="00C11B60" w:rsidP="00356304">
            <w:pPr>
              <w:jc w:val="center"/>
              <w:rPr>
                <w:rFonts w:ascii="Times New Roman" w:hAnsi="Times New Roman" w:cs="Times New Roman"/>
              </w:rPr>
            </w:pPr>
            <w:r>
              <w:rPr>
                <w:rFonts w:ascii="Times New Roman" w:hAnsi="Times New Roman" w:cs="Times New Roman"/>
              </w:rPr>
              <w:t>UI Data</w:t>
            </w:r>
          </w:p>
          <w:p w14:paraId="42635FEF" w14:textId="77777777" w:rsidR="00EB62A2" w:rsidRDefault="00EB62A2" w:rsidP="00EB62A2">
            <w:pPr>
              <w:jc w:val="center"/>
              <w:rPr>
                <w:rFonts w:ascii="Times New Roman" w:hAnsi="Times New Roman" w:cs="Times New Roman"/>
              </w:rPr>
            </w:pPr>
            <w:r>
              <w:rPr>
                <w:rFonts w:ascii="Times New Roman" w:hAnsi="Times New Roman" w:cs="Times New Roman"/>
              </w:rPr>
              <w:t>(All Ages)</w:t>
            </w:r>
          </w:p>
        </w:tc>
      </w:tr>
      <w:tr w:rsidR="00C11B60" w14:paraId="6F92D6AB" w14:textId="77777777" w:rsidTr="00FF1679">
        <w:tc>
          <w:tcPr>
            <w:tcW w:w="681" w:type="dxa"/>
          </w:tcPr>
          <w:p w14:paraId="135B22E1" w14:textId="77777777" w:rsidR="00C11B60" w:rsidRDefault="00C11B60" w:rsidP="00356304">
            <w:pPr>
              <w:jc w:val="center"/>
              <w:rPr>
                <w:rFonts w:ascii="Times New Roman" w:hAnsi="Times New Roman" w:cs="Times New Roman"/>
              </w:rPr>
            </w:pPr>
            <w:r>
              <w:rPr>
                <w:rFonts w:ascii="Times New Roman" w:hAnsi="Times New Roman" w:cs="Times New Roman"/>
              </w:rPr>
              <w:t>561</w:t>
            </w:r>
          </w:p>
        </w:tc>
        <w:tc>
          <w:tcPr>
            <w:tcW w:w="3351" w:type="dxa"/>
          </w:tcPr>
          <w:p w14:paraId="2A55E031" w14:textId="77777777" w:rsidR="00C11B60" w:rsidRDefault="00C11B60" w:rsidP="00356304">
            <w:pPr>
              <w:rPr>
                <w:rFonts w:ascii="Times New Roman" w:hAnsi="Times New Roman" w:cs="Times New Roman"/>
              </w:rPr>
            </w:pPr>
            <w:r>
              <w:rPr>
                <w:rFonts w:ascii="Times New Roman" w:hAnsi="Times New Roman" w:cs="Times New Roman"/>
              </w:rPr>
              <w:t>Admin. &amp; Support</w:t>
            </w:r>
          </w:p>
        </w:tc>
        <w:tc>
          <w:tcPr>
            <w:tcW w:w="1870" w:type="dxa"/>
          </w:tcPr>
          <w:p w14:paraId="3B867218" w14:textId="77777777" w:rsidR="00C11B60" w:rsidRDefault="00C11B60" w:rsidP="00356304">
            <w:pPr>
              <w:jc w:val="center"/>
              <w:rPr>
                <w:rFonts w:ascii="Times New Roman" w:hAnsi="Times New Roman" w:cs="Times New Roman"/>
              </w:rPr>
            </w:pPr>
            <w:r>
              <w:rPr>
                <w:rFonts w:ascii="Times New Roman" w:hAnsi="Times New Roman" w:cs="Times New Roman"/>
              </w:rPr>
              <w:t>15.3%</w:t>
            </w:r>
          </w:p>
        </w:tc>
        <w:tc>
          <w:tcPr>
            <w:tcW w:w="1870" w:type="dxa"/>
          </w:tcPr>
          <w:p w14:paraId="2FD3E8B3" w14:textId="77777777" w:rsidR="00C11B60" w:rsidRDefault="00C11B60" w:rsidP="00356304">
            <w:pPr>
              <w:jc w:val="center"/>
              <w:rPr>
                <w:rFonts w:ascii="Times New Roman" w:hAnsi="Times New Roman" w:cs="Times New Roman"/>
              </w:rPr>
            </w:pPr>
            <w:r>
              <w:rPr>
                <w:rFonts w:ascii="Times New Roman" w:hAnsi="Times New Roman" w:cs="Times New Roman"/>
              </w:rPr>
              <w:t>6.7%</w:t>
            </w:r>
          </w:p>
        </w:tc>
      </w:tr>
      <w:tr w:rsidR="00C11B60" w14:paraId="59B71553" w14:textId="77777777" w:rsidTr="00FF1679">
        <w:tc>
          <w:tcPr>
            <w:tcW w:w="681" w:type="dxa"/>
          </w:tcPr>
          <w:p w14:paraId="6F424E70" w14:textId="77777777" w:rsidR="00C11B60" w:rsidRDefault="00C11B60" w:rsidP="00356304">
            <w:pPr>
              <w:jc w:val="center"/>
              <w:rPr>
                <w:rFonts w:ascii="Times New Roman" w:hAnsi="Times New Roman" w:cs="Times New Roman"/>
              </w:rPr>
            </w:pPr>
            <w:r>
              <w:rPr>
                <w:rFonts w:ascii="Times New Roman" w:hAnsi="Times New Roman" w:cs="Times New Roman"/>
              </w:rPr>
              <w:t>624</w:t>
            </w:r>
          </w:p>
        </w:tc>
        <w:tc>
          <w:tcPr>
            <w:tcW w:w="3351" w:type="dxa"/>
          </w:tcPr>
          <w:p w14:paraId="5DC80351" w14:textId="77777777" w:rsidR="00C11B60" w:rsidRDefault="00C11B60" w:rsidP="00356304">
            <w:pPr>
              <w:rPr>
                <w:rFonts w:ascii="Times New Roman" w:hAnsi="Times New Roman" w:cs="Times New Roman"/>
              </w:rPr>
            </w:pPr>
            <w:r>
              <w:rPr>
                <w:rFonts w:ascii="Times New Roman" w:hAnsi="Times New Roman" w:cs="Times New Roman"/>
              </w:rPr>
              <w:t>Social Assistance</w:t>
            </w:r>
          </w:p>
        </w:tc>
        <w:tc>
          <w:tcPr>
            <w:tcW w:w="1870" w:type="dxa"/>
          </w:tcPr>
          <w:p w14:paraId="5D34122A" w14:textId="77777777" w:rsidR="00C11B60" w:rsidRDefault="00C11B60" w:rsidP="00356304">
            <w:pPr>
              <w:jc w:val="center"/>
              <w:rPr>
                <w:rFonts w:ascii="Times New Roman" w:hAnsi="Times New Roman" w:cs="Times New Roman"/>
              </w:rPr>
            </w:pPr>
            <w:r>
              <w:rPr>
                <w:rFonts w:ascii="Times New Roman" w:hAnsi="Times New Roman" w:cs="Times New Roman"/>
              </w:rPr>
              <w:t>10.9%</w:t>
            </w:r>
          </w:p>
        </w:tc>
        <w:tc>
          <w:tcPr>
            <w:tcW w:w="1870" w:type="dxa"/>
          </w:tcPr>
          <w:p w14:paraId="31A9C9FF" w14:textId="77777777" w:rsidR="00C11B60" w:rsidRDefault="00C11B60" w:rsidP="00356304">
            <w:pPr>
              <w:jc w:val="center"/>
              <w:rPr>
                <w:rFonts w:ascii="Times New Roman" w:hAnsi="Times New Roman" w:cs="Times New Roman"/>
              </w:rPr>
            </w:pPr>
            <w:r>
              <w:rPr>
                <w:rFonts w:ascii="Times New Roman" w:hAnsi="Times New Roman" w:cs="Times New Roman"/>
              </w:rPr>
              <w:t>3.3%</w:t>
            </w:r>
          </w:p>
        </w:tc>
      </w:tr>
      <w:tr w:rsidR="00C11B60" w14:paraId="61C5A8E0" w14:textId="77777777" w:rsidTr="00FF1679">
        <w:tc>
          <w:tcPr>
            <w:tcW w:w="681" w:type="dxa"/>
          </w:tcPr>
          <w:p w14:paraId="5FB9FB40" w14:textId="77777777" w:rsidR="00C11B60" w:rsidRDefault="00C11B60" w:rsidP="00356304">
            <w:pPr>
              <w:jc w:val="center"/>
              <w:rPr>
                <w:rFonts w:ascii="Times New Roman" w:hAnsi="Times New Roman" w:cs="Times New Roman"/>
              </w:rPr>
            </w:pPr>
            <w:r>
              <w:rPr>
                <w:rFonts w:ascii="Times New Roman" w:hAnsi="Times New Roman" w:cs="Times New Roman"/>
              </w:rPr>
              <w:t>722</w:t>
            </w:r>
          </w:p>
        </w:tc>
        <w:tc>
          <w:tcPr>
            <w:tcW w:w="3351" w:type="dxa"/>
          </w:tcPr>
          <w:p w14:paraId="7CE8A7E1" w14:textId="77777777" w:rsidR="00C11B60" w:rsidRDefault="00C11B60" w:rsidP="00356304">
            <w:pPr>
              <w:rPr>
                <w:rFonts w:ascii="Times New Roman" w:hAnsi="Times New Roman" w:cs="Times New Roman"/>
              </w:rPr>
            </w:pPr>
            <w:r>
              <w:rPr>
                <w:rFonts w:ascii="Times New Roman" w:hAnsi="Times New Roman" w:cs="Times New Roman"/>
              </w:rPr>
              <w:t>Food &amp; Drink Estab.</w:t>
            </w:r>
          </w:p>
        </w:tc>
        <w:tc>
          <w:tcPr>
            <w:tcW w:w="1870" w:type="dxa"/>
          </w:tcPr>
          <w:p w14:paraId="047D5695" w14:textId="77777777" w:rsidR="00C11B60" w:rsidRDefault="00C11B60" w:rsidP="00356304">
            <w:pPr>
              <w:jc w:val="center"/>
              <w:rPr>
                <w:rFonts w:ascii="Times New Roman" w:hAnsi="Times New Roman" w:cs="Times New Roman"/>
              </w:rPr>
            </w:pPr>
            <w:r>
              <w:rPr>
                <w:rFonts w:ascii="Times New Roman" w:hAnsi="Times New Roman" w:cs="Times New Roman"/>
              </w:rPr>
              <w:t>16.2%</w:t>
            </w:r>
          </w:p>
        </w:tc>
        <w:tc>
          <w:tcPr>
            <w:tcW w:w="1870" w:type="dxa"/>
          </w:tcPr>
          <w:p w14:paraId="576F3EB6" w14:textId="77777777" w:rsidR="00C11B60" w:rsidRDefault="00C11B60" w:rsidP="00356304">
            <w:pPr>
              <w:jc w:val="center"/>
              <w:rPr>
                <w:rFonts w:ascii="Times New Roman" w:hAnsi="Times New Roman" w:cs="Times New Roman"/>
              </w:rPr>
            </w:pPr>
            <w:r>
              <w:rPr>
                <w:rFonts w:ascii="Times New Roman" w:hAnsi="Times New Roman" w:cs="Times New Roman"/>
              </w:rPr>
              <w:t>8.6%</w:t>
            </w:r>
          </w:p>
        </w:tc>
      </w:tr>
      <w:tr w:rsidR="00C11B60" w14:paraId="1053961F" w14:textId="77777777" w:rsidTr="00FF1679">
        <w:tc>
          <w:tcPr>
            <w:tcW w:w="681" w:type="dxa"/>
          </w:tcPr>
          <w:p w14:paraId="76EC94A1" w14:textId="77777777" w:rsidR="00C11B60" w:rsidRDefault="00C11B60" w:rsidP="00356304">
            <w:pPr>
              <w:jc w:val="center"/>
              <w:rPr>
                <w:rFonts w:ascii="Times New Roman" w:hAnsi="Times New Roman" w:cs="Times New Roman"/>
              </w:rPr>
            </w:pPr>
            <w:r>
              <w:rPr>
                <w:rFonts w:ascii="Times New Roman" w:hAnsi="Times New Roman" w:cs="Times New Roman"/>
              </w:rPr>
              <w:t>813</w:t>
            </w:r>
          </w:p>
        </w:tc>
        <w:tc>
          <w:tcPr>
            <w:tcW w:w="3351" w:type="dxa"/>
          </w:tcPr>
          <w:p w14:paraId="6D0EDCF8" w14:textId="77777777" w:rsidR="00C11B60" w:rsidRDefault="00C11B60" w:rsidP="00356304">
            <w:pPr>
              <w:rPr>
                <w:rFonts w:ascii="Times New Roman" w:hAnsi="Times New Roman" w:cs="Times New Roman"/>
              </w:rPr>
            </w:pPr>
            <w:r>
              <w:rPr>
                <w:rFonts w:ascii="Times New Roman" w:hAnsi="Times New Roman" w:cs="Times New Roman"/>
              </w:rPr>
              <w:t>Religious, Grantmaking, Civic &amp; other organizations</w:t>
            </w:r>
            <w:r>
              <w:rPr>
                <w:rStyle w:val="FootnoteReference"/>
                <w:rFonts w:ascii="Times New Roman" w:hAnsi="Times New Roman" w:cs="Times New Roman"/>
              </w:rPr>
              <w:footnoteReference w:id="33"/>
            </w:r>
          </w:p>
        </w:tc>
        <w:tc>
          <w:tcPr>
            <w:tcW w:w="1870" w:type="dxa"/>
          </w:tcPr>
          <w:p w14:paraId="6E40194A" w14:textId="77777777" w:rsidR="00C11B60" w:rsidRDefault="00C11B60" w:rsidP="00356304">
            <w:pPr>
              <w:jc w:val="center"/>
              <w:rPr>
                <w:rFonts w:ascii="Times New Roman" w:hAnsi="Times New Roman" w:cs="Times New Roman"/>
              </w:rPr>
            </w:pPr>
            <w:r>
              <w:rPr>
                <w:rFonts w:ascii="Times New Roman" w:hAnsi="Times New Roman" w:cs="Times New Roman"/>
              </w:rPr>
              <w:t>3.9%</w:t>
            </w:r>
          </w:p>
        </w:tc>
        <w:tc>
          <w:tcPr>
            <w:tcW w:w="1870" w:type="dxa"/>
          </w:tcPr>
          <w:p w14:paraId="2C172E2F" w14:textId="77777777" w:rsidR="00C11B60" w:rsidRDefault="00C11B60" w:rsidP="00356304">
            <w:pPr>
              <w:jc w:val="center"/>
              <w:rPr>
                <w:rFonts w:ascii="Times New Roman" w:hAnsi="Times New Roman" w:cs="Times New Roman"/>
              </w:rPr>
            </w:pPr>
            <w:r>
              <w:rPr>
                <w:rFonts w:ascii="Times New Roman" w:hAnsi="Times New Roman" w:cs="Times New Roman"/>
              </w:rPr>
              <w:t>0.7%</w:t>
            </w:r>
          </w:p>
        </w:tc>
      </w:tr>
      <w:tr w:rsidR="00C11B60" w14:paraId="6A4AC762" w14:textId="77777777" w:rsidTr="00FF1679">
        <w:tc>
          <w:tcPr>
            <w:tcW w:w="681" w:type="dxa"/>
          </w:tcPr>
          <w:p w14:paraId="71B2DCF4" w14:textId="77777777" w:rsidR="00C11B60" w:rsidRDefault="00C11B60" w:rsidP="00356304">
            <w:pPr>
              <w:jc w:val="center"/>
              <w:rPr>
                <w:rFonts w:ascii="Times New Roman" w:hAnsi="Times New Roman" w:cs="Times New Roman"/>
              </w:rPr>
            </w:pPr>
            <w:r>
              <w:rPr>
                <w:rFonts w:ascii="Times New Roman" w:hAnsi="Times New Roman" w:cs="Times New Roman"/>
              </w:rPr>
              <w:t>445</w:t>
            </w:r>
          </w:p>
        </w:tc>
        <w:tc>
          <w:tcPr>
            <w:tcW w:w="3351" w:type="dxa"/>
          </w:tcPr>
          <w:p w14:paraId="75D37798" w14:textId="77777777" w:rsidR="00C11B60" w:rsidRDefault="00C11B60" w:rsidP="00356304">
            <w:pPr>
              <w:rPr>
                <w:rFonts w:ascii="Times New Roman" w:hAnsi="Times New Roman" w:cs="Times New Roman"/>
              </w:rPr>
            </w:pPr>
            <w:r>
              <w:rPr>
                <w:rFonts w:ascii="Times New Roman" w:hAnsi="Times New Roman" w:cs="Times New Roman"/>
              </w:rPr>
              <w:t>Food &amp; Bev. Stores</w:t>
            </w:r>
          </w:p>
        </w:tc>
        <w:tc>
          <w:tcPr>
            <w:tcW w:w="1870" w:type="dxa"/>
          </w:tcPr>
          <w:p w14:paraId="4CA00545" w14:textId="77777777" w:rsidR="00C11B60" w:rsidRDefault="00C11B60" w:rsidP="00356304">
            <w:pPr>
              <w:jc w:val="center"/>
              <w:rPr>
                <w:rFonts w:ascii="Times New Roman" w:hAnsi="Times New Roman" w:cs="Times New Roman"/>
              </w:rPr>
            </w:pPr>
            <w:r>
              <w:rPr>
                <w:rFonts w:ascii="Times New Roman" w:hAnsi="Times New Roman" w:cs="Times New Roman"/>
              </w:rPr>
              <w:t>1.7%</w:t>
            </w:r>
          </w:p>
        </w:tc>
        <w:tc>
          <w:tcPr>
            <w:tcW w:w="1870" w:type="dxa"/>
          </w:tcPr>
          <w:p w14:paraId="31F6F611" w14:textId="77777777" w:rsidR="00C11B60" w:rsidRDefault="00C11B60" w:rsidP="00356304">
            <w:pPr>
              <w:jc w:val="center"/>
              <w:rPr>
                <w:rFonts w:ascii="Times New Roman" w:hAnsi="Times New Roman" w:cs="Times New Roman"/>
              </w:rPr>
            </w:pPr>
            <w:r>
              <w:rPr>
                <w:rFonts w:ascii="Times New Roman" w:hAnsi="Times New Roman" w:cs="Times New Roman"/>
              </w:rPr>
              <w:t>2.2%</w:t>
            </w:r>
          </w:p>
        </w:tc>
      </w:tr>
      <w:tr w:rsidR="00C11B60" w14:paraId="25381F80" w14:textId="77777777" w:rsidTr="00FF1679">
        <w:tc>
          <w:tcPr>
            <w:tcW w:w="681" w:type="dxa"/>
          </w:tcPr>
          <w:p w14:paraId="51CFF94E" w14:textId="77777777" w:rsidR="00C11B60" w:rsidRDefault="00C11B60" w:rsidP="00356304">
            <w:pPr>
              <w:jc w:val="center"/>
              <w:rPr>
                <w:rFonts w:ascii="Times New Roman" w:hAnsi="Times New Roman" w:cs="Times New Roman"/>
              </w:rPr>
            </w:pPr>
            <w:r>
              <w:rPr>
                <w:rFonts w:ascii="Times New Roman" w:hAnsi="Times New Roman" w:cs="Times New Roman"/>
              </w:rPr>
              <w:t>447</w:t>
            </w:r>
          </w:p>
        </w:tc>
        <w:tc>
          <w:tcPr>
            <w:tcW w:w="3351" w:type="dxa"/>
          </w:tcPr>
          <w:p w14:paraId="329C0518" w14:textId="77777777" w:rsidR="00C11B60" w:rsidRDefault="00C11B60" w:rsidP="00356304">
            <w:pPr>
              <w:rPr>
                <w:rFonts w:ascii="Times New Roman" w:hAnsi="Times New Roman" w:cs="Times New Roman"/>
              </w:rPr>
            </w:pPr>
            <w:r>
              <w:rPr>
                <w:rFonts w:ascii="Times New Roman" w:hAnsi="Times New Roman" w:cs="Times New Roman"/>
              </w:rPr>
              <w:t>Gas Stations</w:t>
            </w:r>
          </w:p>
        </w:tc>
        <w:tc>
          <w:tcPr>
            <w:tcW w:w="1870" w:type="dxa"/>
          </w:tcPr>
          <w:p w14:paraId="267C48CE" w14:textId="77777777" w:rsidR="00C11B60" w:rsidRDefault="00C11B60" w:rsidP="00356304">
            <w:pPr>
              <w:jc w:val="center"/>
              <w:rPr>
                <w:rFonts w:ascii="Times New Roman" w:hAnsi="Times New Roman" w:cs="Times New Roman"/>
              </w:rPr>
            </w:pPr>
            <w:r>
              <w:rPr>
                <w:rFonts w:ascii="Times New Roman" w:hAnsi="Times New Roman" w:cs="Times New Roman"/>
              </w:rPr>
              <w:t>1.2%</w:t>
            </w:r>
          </w:p>
        </w:tc>
        <w:tc>
          <w:tcPr>
            <w:tcW w:w="1870" w:type="dxa"/>
          </w:tcPr>
          <w:p w14:paraId="0901CD92" w14:textId="77777777" w:rsidR="00C11B60" w:rsidRDefault="00C11B60" w:rsidP="00356304">
            <w:pPr>
              <w:jc w:val="center"/>
              <w:rPr>
                <w:rFonts w:ascii="Times New Roman" w:hAnsi="Times New Roman" w:cs="Times New Roman"/>
              </w:rPr>
            </w:pPr>
            <w:r>
              <w:rPr>
                <w:rFonts w:ascii="Times New Roman" w:hAnsi="Times New Roman" w:cs="Times New Roman"/>
              </w:rPr>
              <w:t>0.7%</w:t>
            </w:r>
          </w:p>
        </w:tc>
      </w:tr>
      <w:tr w:rsidR="00C11B60" w14:paraId="7E0D6B83" w14:textId="77777777" w:rsidTr="00FF1679">
        <w:tc>
          <w:tcPr>
            <w:tcW w:w="681" w:type="dxa"/>
          </w:tcPr>
          <w:p w14:paraId="751D3395" w14:textId="77777777" w:rsidR="00C11B60" w:rsidRDefault="00C11B60" w:rsidP="00356304">
            <w:pPr>
              <w:jc w:val="center"/>
              <w:rPr>
                <w:rFonts w:ascii="Times New Roman" w:hAnsi="Times New Roman" w:cs="Times New Roman"/>
              </w:rPr>
            </w:pPr>
            <w:r>
              <w:rPr>
                <w:rFonts w:ascii="Times New Roman" w:hAnsi="Times New Roman" w:cs="Times New Roman"/>
              </w:rPr>
              <w:t>452</w:t>
            </w:r>
          </w:p>
        </w:tc>
        <w:tc>
          <w:tcPr>
            <w:tcW w:w="3351" w:type="dxa"/>
          </w:tcPr>
          <w:p w14:paraId="7C50E345" w14:textId="77777777" w:rsidR="00C11B60" w:rsidRDefault="00C11B60" w:rsidP="00356304">
            <w:pPr>
              <w:rPr>
                <w:rFonts w:ascii="Times New Roman" w:hAnsi="Times New Roman" w:cs="Times New Roman"/>
              </w:rPr>
            </w:pPr>
            <w:r>
              <w:rPr>
                <w:rFonts w:ascii="Times New Roman" w:hAnsi="Times New Roman" w:cs="Times New Roman"/>
              </w:rPr>
              <w:t>Gen. Merch. Stores</w:t>
            </w:r>
          </w:p>
        </w:tc>
        <w:tc>
          <w:tcPr>
            <w:tcW w:w="1870" w:type="dxa"/>
          </w:tcPr>
          <w:p w14:paraId="462BCFEB" w14:textId="77777777" w:rsidR="00C11B60" w:rsidRDefault="00C11B60" w:rsidP="00356304">
            <w:pPr>
              <w:jc w:val="center"/>
              <w:rPr>
                <w:rFonts w:ascii="Times New Roman" w:hAnsi="Times New Roman" w:cs="Times New Roman"/>
              </w:rPr>
            </w:pPr>
            <w:r>
              <w:rPr>
                <w:rFonts w:ascii="Times New Roman" w:hAnsi="Times New Roman" w:cs="Times New Roman"/>
              </w:rPr>
              <w:t>1.9%</w:t>
            </w:r>
          </w:p>
        </w:tc>
        <w:tc>
          <w:tcPr>
            <w:tcW w:w="1870" w:type="dxa"/>
          </w:tcPr>
          <w:p w14:paraId="19D43BF8" w14:textId="77777777" w:rsidR="00C11B60" w:rsidRDefault="00C11B60" w:rsidP="00356304">
            <w:pPr>
              <w:jc w:val="center"/>
              <w:rPr>
                <w:rFonts w:ascii="Times New Roman" w:hAnsi="Times New Roman" w:cs="Times New Roman"/>
              </w:rPr>
            </w:pPr>
            <w:r>
              <w:rPr>
                <w:rFonts w:ascii="Times New Roman" w:hAnsi="Times New Roman" w:cs="Times New Roman"/>
              </w:rPr>
              <w:t>2.3%</w:t>
            </w:r>
          </w:p>
        </w:tc>
      </w:tr>
      <w:tr w:rsidR="00C11B60" w14:paraId="416967BC" w14:textId="77777777" w:rsidTr="00FF1679">
        <w:tc>
          <w:tcPr>
            <w:tcW w:w="681" w:type="dxa"/>
          </w:tcPr>
          <w:p w14:paraId="63E2794C" w14:textId="77777777" w:rsidR="00C11B60" w:rsidRDefault="00C11B60" w:rsidP="00356304">
            <w:pPr>
              <w:jc w:val="center"/>
              <w:rPr>
                <w:rFonts w:ascii="Times New Roman" w:hAnsi="Times New Roman" w:cs="Times New Roman"/>
              </w:rPr>
            </w:pPr>
            <w:r>
              <w:rPr>
                <w:rFonts w:ascii="Times New Roman" w:hAnsi="Times New Roman" w:cs="Times New Roman"/>
              </w:rPr>
              <w:t>453</w:t>
            </w:r>
          </w:p>
        </w:tc>
        <w:tc>
          <w:tcPr>
            <w:tcW w:w="3351" w:type="dxa"/>
          </w:tcPr>
          <w:p w14:paraId="02544A6E" w14:textId="77777777" w:rsidR="00C11B60" w:rsidRDefault="00C11B60" w:rsidP="00356304">
            <w:pPr>
              <w:rPr>
                <w:rFonts w:ascii="Times New Roman" w:hAnsi="Times New Roman" w:cs="Times New Roman"/>
              </w:rPr>
            </w:pPr>
            <w:r>
              <w:rPr>
                <w:rFonts w:ascii="Times New Roman" w:hAnsi="Times New Roman" w:cs="Times New Roman"/>
              </w:rPr>
              <w:t>Misc. Store Retail</w:t>
            </w:r>
          </w:p>
        </w:tc>
        <w:tc>
          <w:tcPr>
            <w:tcW w:w="1870" w:type="dxa"/>
          </w:tcPr>
          <w:p w14:paraId="76B80E10" w14:textId="77777777" w:rsidR="00C11B60" w:rsidRDefault="00C11B60" w:rsidP="00356304">
            <w:pPr>
              <w:jc w:val="center"/>
              <w:rPr>
                <w:rFonts w:ascii="Times New Roman" w:hAnsi="Times New Roman" w:cs="Times New Roman"/>
              </w:rPr>
            </w:pPr>
            <w:r>
              <w:rPr>
                <w:rFonts w:ascii="Times New Roman" w:hAnsi="Times New Roman" w:cs="Times New Roman"/>
              </w:rPr>
              <w:t>1.3%</w:t>
            </w:r>
          </w:p>
        </w:tc>
        <w:tc>
          <w:tcPr>
            <w:tcW w:w="1870" w:type="dxa"/>
          </w:tcPr>
          <w:p w14:paraId="0E006D2F" w14:textId="77777777" w:rsidR="00C11B60" w:rsidRDefault="00C11B60" w:rsidP="00356304">
            <w:pPr>
              <w:jc w:val="center"/>
              <w:rPr>
                <w:rFonts w:ascii="Times New Roman" w:hAnsi="Times New Roman" w:cs="Times New Roman"/>
              </w:rPr>
            </w:pPr>
            <w:r>
              <w:rPr>
                <w:rFonts w:ascii="Times New Roman" w:hAnsi="Times New Roman" w:cs="Times New Roman"/>
              </w:rPr>
              <w:t>0.5%</w:t>
            </w:r>
          </w:p>
        </w:tc>
      </w:tr>
      <w:tr w:rsidR="00C11B60" w14:paraId="2D4C0268" w14:textId="77777777" w:rsidTr="00FF1679">
        <w:tc>
          <w:tcPr>
            <w:tcW w:w="681" w:type="dxa"/>
          </w:tcPr>
          <w:p w14:paraId="03BD71F7" w14:textId="77777777" w:rsidR="00C11B60" w:rsidRDefault="00C11B60" w:rsidP="00356304">
            <w:pPr>
              <w:jc w:val="center"/>
              <w:rPr>
                <w:rFonts w:ascii="Times New Roman" w:hAnsi="Times New Roman" w:cs="Times New Roman"/>
              </w:rPr>
            </w:pPr>
          </w:p>
        </w:tc>
        <w:tc>
          <w:tcPr>
            <w:tcW w:w="3351" w:type="dxa"/>
          </w:tcPr>
          <w:p w14:paraId="15C9BBF8" w14:textId="77777777" w:rsidR="00C11B60" w:rsidRDefault="00C11B60" w:rsidP="00356304">
            <w:pPr>
              <w:rPr>
                <w:rFonts w:ascii="Times New Roman" w:hAnsi="Times New Roman" w:cs="Times New Roman"/>
              </w:rPr>
            </w:pPr>
            <w:r>
              <w:rPr>
                <w:rFonts w:ascii="Times New Roman" w:hAnsi="Times New Roman" w:cs="Times New Roman"/>
              </w:rPr>
              <w:t>Total</w:t>
            </w:r>
          </w:p>
        </w:tc>
        <w:tc>
          <w:tcPr>
            <w:tcW w:w="1870" w:type="dxa"/>
          </w:tcPr>
          <w:p w14:paraId="773CC526" w14:textId="77777777" w:rsidR="00C11B60" w:rsidRDefault="00C11B60" w:rsidP="00356304">
            <w:pPr>
              <w:jc w:val="center"/>
              <w:rPr>
                <w:rFonts w:ascii="Times New Roman" w:hAnsi="Times New Roman" w:cs="Times New Roman"/>
              </w:rPr>
            </w:pPr>
            <w:r>
              <w:rPr>
                <w:rFonts w:ascii="Times New Roman" w:hAnsi="Times New Roman" w:cs="Times New Roman"/>
              </w:rPr>
              <w:t>52.4%</w:t>
            </w:r>
          </w:p>
        </w:tc>
        <w:tc>
          <w:tcPr>
            <w:tcW w:w="1870" w:type="dxa"/>
          </w:tcPr>
          <w:p w14:paraId="71643B83" w14:textId="77777777" w:rsidR="00C11B60" w:rsidRDefault="00C11B60" w:rsidP="00356304">
            <w:pPr>
              <w:jc w:val="center"/>
              <w:rPr>
                <w:rFonts w:ascii="Times New Roman" w:hAnsi="Times New Roman" w:cs="Times New Roman"/>
              </w:rPr>
            </w:pPr>
            <w:r>
              <w:rPr>
                <w:rFonts w:ascii="Times New Roman" w:hAnsi="Times New Roman" w:cs="Times New Roman"/>
              </w:rPr>
              <w:t>25.0%</w:t>
            </w:r>
          </w:p>
        </w:tc>
      </w:tr>
    </w:tbl>
    <w:p w14:paraId="58052653" w14:textId="77777777" w:rsidR="005235D2" w:rsidRDefault="005235D2" w:rsidP="006840E4">
      <w:pPr>
        <w:rPr>
          <w:rFonts w:ascii="Times New Roman" w:hAnsi="Times New Roman" w:cs="Times New Roman"/>
        </w:rPr>
      </w:pPr>
    </w:p>
    <w:p w14:paraId="589C101F" w14:textId="3BA5736E" w:rsidR="00356304" w:rsidRDefault="005235D2" w:rsidP="00AC6265">
      <w:pPr>
        <w:jc w:val="both"/>
        <w:rPr>
          <w:rFonts w:ascii="Times New Roman" w:hAnsi="Times New Roman" w:cs="Times New Roman"/>
        </w:rPr>
        <w:sectPr w:rsidR="00356304" w:rsidSect="0015794D">
          <w:footerReference w:type="default" r:id="rId10"/>
          <w:pgSz w:w="12240" w:h="15840"/>
          <w:pgMar w:top="1440" w:right="1440" w:bottom="1440" w:left="1440" w:header="720" w:footer="720" w:gutter="0"/>
          <w:cols w:space="720"/>
          <w:docGrid w:linePitch="360"/>
        </w:sectPr>
      </w:pPr>
      <w:r>
        <w:rPr>
          <w:rFonts w:ascii="Times New Roman" w:hAnsi="Times New Roman" w:cs="Times New Roman"/>
        </w:rPr>
        <w:t>Third, for each county, we computed the fraction of youths born 1994-2000 who had ever held a UI covered job as a percent of youths in the BMV database for that county.  We can think of this as an “ever employed” rate for youths.</w:t>
      </w:r>
      <w:r>
        <w:rPr>
          <w:rStyle w:val="FootnoteReference"/>
          <w:rFonts w:ascii="Times New Roman" w:hAnsi="Times New Roman" w:cs="Times New Roman"/>
        </w:rPr>
        <w:footnoteReference w:id="34"/>
      </w:r>
      <w:r w:rsidR="00266C94" w:rsidRPr="00266C94">
        <w:rPr>
          <w:rFonts w:ascii="Times New Roman" w:hAnsi="Times New Roman" w:cs="Times New Roman"/>
        </w:rPr>
        <w:t xml:space="preserve"> </w:t>
      </w:r>
      <w:r w:rsidR="00356304">
        <w:rPr>
          <w:rFonts w:ascii="Times New Roman" w:hAnsi="Times New Roman" w:cs="Times New Roman"/>
        </w:rPr>
        <w:t xml:space="preserve">In Table </w:t>
      </w:r>
      <w:r w:rsidR="00883191">
        <w:rPr>
          <w:rFonts w:ascii="Times New Roman" w:hAnsi="Times New Roman" w:cs="Times New Roman"/>
        </w:rPr>
        <w:t>8</w:t>
      </w:r>
      <w:r w:rsidR="00356304">
        <w:rPr>
          <w:rFonts w:ascii="Times New Roman" w:hAnsi="Times New Roman" w:cs="Times New Roman"/>
        </w:rPr>
        <w:t>, we show these metrics along with data on population by labor market.</w:t>
      </w:r>
    </w:p>
    <w:p w14:paraId="76236A86" w14:textId="48EC5C3B" w:rsidR="006B73D3" w:rsidRDefault="00356304" w:rsidP="00356304">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 xml:space="preserve">Table </w:t>
      </w:r>
      <w:r w:rsidR="00883191">
        <w:rPr>
          <w:rFonts w:ascii="Times New Roman" w:hAnsi="Times New Roman" w:cs="Times New Roman"/>
          <w:sz w:val="20"/>
          <w:szCs w:val="20"/>
        </w:rPr>
        <w:t>8</w:t>
      </w:r>
    </w:p>
    <w:p w14:paraId="47BA7AC9" w14:textId="77777777" w:rsidR="00356304" w:rsidRDefault="00356304" w:rsidP="00356304">
      <w:pPr>
        <w:spacing w:after="0"/>
        <w:jc w:val="center"/>
        <w:rPr>
          <w:rFonts w:ascii="Times New Roman" w:hAnsi="Times New Roman" w:cs="Times New Roman"/>
          <w:sz w:val="20"/>
          <w:szCs w:val="20"/>
        </w:rPr>
      </w:pPr>
      <w:r>
        <w:rPr>
          <w:rFonts w:ascii="Times New Roman" w:hAnsi="Times New Roman" w:cs="Times New Roman"/>
          <w:sz w:val="20"/>
          <w:szCs w:val="20"/>
        </w:rPr>
        <w:t>Selected Characteristics of Ohio Labor Markets</w:t>
      </w:r>
    </w:p>
    <w:p w14:paraId="58053E45" w14:textId="332D17E8" w:rsidR="0071441F" w:rsidRDefault="0071441F" w:rsidP="00356304">
      <w:pPr>
        <w:spacing w:after="0"/>
        <w:jc w:val="center"/>
        <w:rPr>
          <w:rFonts w:ascii="Times New Roman" w:hAnsi="Times New Roman" w:cs="Times New Roman"/>
          <w:sz w:val="20"/>
          <w:szCs w:val="20"/>
        </w:rPr>
      </w:pPr>
      <w:r>
        <w:rPr>
          <w:rFonts w:ascii="Times New Roman" w:hAnsi="Times New Roman" w:cs="Times New Roman"/>
          <w:sz w:val="20"/>
          <w:szCs w:val="20"/>
        </w:rPr>
        <w:t xml:space="preserve">(See Figure </w:t>
      </w:r>
      <w:r w:rsidR="002B1D0F">
        <w:rPr>
          <w:rFonts w:ascii="Times New Roman" w:hAnsi="Times New Roman" w:cs="Times New Roman"/>
          <w:sz w:val="20"/>
          <w:szCs w:val="20"/>
        </w:rPr>
        <w:t>2</w:t>
      </w:r>
      <w:r>
        <w:rPr>
          <w:rFonts w:ascii="Times New Roman" w:hAnsi="Times New Roman" w:cs="Times New Roman"/>
          <w:sz w:val="20"/>
          <w:szCs w:val="20"/>
        </w:rPr>
        <w:t xml:space="preserve"> for Market Definitions)</w:t>
      </w:r>
    </w:p>
    <w:p w14:paraId="5C32C152" w14:textId="77777777" w:rsidR="00356304" w:rsidRDefault="00356304" w:rsidP="00356304">
      <w:pPr>
        <w:spacing w:after="0"/>
        <w:jc w:val="center"/>
        <w:rPr>
          <w:rFonts w:ascii="Times New Roman" w:hAnsi="Times New Roman" w:cs="Times New Roman"/>
          <w:sz w:val="20"/>
          <w:szCs w:val="20"/>
        </w:rPr>
      </w:pPr>
    </w:p>
    <w:tbl>
      <w:tblPr>
        <w:tblStyle w:val="TableGrid"/>
        <w:tblW w:w="0" w:type="auto"/>
        <w:tblLook w:val="04A0" w:firstRow="1" w:lastRow="0" w:firstColumn="1" w:lastColumn="0" w:noHBand="0" w:noVBand="1"/>
        <w:tblCaption w:val="Labor market conditions in Ohio"/>
        <w:tblDescription w:val="This table shows, for the nine labor markets in Ohio, a variety of labor market metrics for each labor market"/>
      </w:tblPr>
      <w:tblGrid>
        <w:gridCol w:w="2616"/>
        <w:gridCol w:w="994"/>
        <w:gridCol w:w="1071"/>
        <w:gridCol w:w="1121"/>
        <w:gridCol w:w="1471"/>
        <w:gridCol w:w="1232"/>
        <w:gridCol w:w="1072"/>
        <w:gridCol w:w="1152"/>
        <w:gridCol w:w="1105"/>
        <w:gridCol w:w="1116"/>
      </w:tblGrid>
      <w:tr w:rsidR="00EC160A" w14:paraId="4DC313EE" w14:textId="77777777" w:rsidTr="00F57E74">
        <w:trPr>
          <w:tblHeader/>
        </w:trPr>
        <w:tc>
          <w:tcPr>
            <w:tcW w:w="2695" w:type="dxa"/>
          </w:tcPr>
          <w:p w14:paraId="222F41FB" w14:textId="77777777" w:rsidR="00356304" w:rsidRDefault="00356304" w:rsidP="00356304">
            <w:pPr>
              <w:rPr>
                <w:rFonts w:ascii="Times New Roman" w:hAnsi="Times New Roman" w:cs="Times New Roman"/>
                <w:sz w:val="20"/>
                <w:szCs w:val="20"/>
              </w:rPr>
            </w:pPr>
            <w:r>
              <w:rPr>
                <w:rFonts w:ascii="Times New Roman" w:hAnsi="Times New Roman" w:cs="Times New Roman"/>
                <w:sz w:val="20"/>
                <w:szCs w:val="20"/>
              </w:rPr>
              <w:t>Measure</w:t>
            </w:r>
          </w:p>
        </w:tc>
        <w:tc>
          <w:tcPr>
            <w:tcW w:w="845" w:type="dxa"/>
            <w:tcBorders>
              <w:bottom w:val="single" w:sz="4" w:space="0" w:color="auto"/>
            </w:tcBorders>
          </w:tcPr>
          <w:p w14:paraId="0A02EFD6"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A</w:t>
            </w:r>
          </w:p>
          <w:p w14:paraId="2DB79A51"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Northwest</w:t>
            </w:r>
          </w:p>
          <w:p w14:paraId="77A7EA64"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Near</w:t>
            </w:r>
          </w:p>
          <w:p w14:paraId="7FD7FDC7"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Sandusky</w:t>
            </w:r>
          </w:p>
        </w:tc>
        <w:tc>
          <w:tcPr>
            <w:tcW w:w="1073" w:type="dxa"/>
            <w:tcBorders>
              <w:bottom w:val="single" w:sz="4" w:space="0" w:color="auto"/>
            </w:tcBorders>
          </w:tcPr>
          <w:p w14:paraId="1C2FBA73"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B</w:t>
            </w:r>
          </w:p>
          <w:p w14:paraId="6E108AB1"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Northeast near Cuyahoga</w:t>
            </w:r>
          </w:p>
          <w:p w14:paraId="0BA59BFE"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&amp; Akron</w:t>
            </w:r>
          </w:p>
        </w:tc>
        <w:tc>
          <w:tcPr>
            <w:tcW w:w="1132" w:type="dxa"/>
            <w:tcBorders>
              <w:bottom w:val="single" w:sz="4" w:space="0" w:color="auto"/>
            </w:tcBorders>
          </w:tcPr>
          <w:p w14:paraId="6B5E2421"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C</w:t>
            </w:r>
          </w:p>
          <w:p w14:paraId="159D036C"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North Central</w:t>
            </w:r>
          </w:p>
          <w:p w14:paraId="4398FC68"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Near</w:t>
            </w:r>
          </w:p>
          <w:p w14:paraId="5F180822"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Ashland</w:t>
            </w:r>
          </w:p>
        </w:tc>
        <w:tc>
          <w:tcPr>
            <w:tcW w:w="1490" w:type="dxa"/>
            <w:tcBorders>
              <w:bottom w:val="single" w:sz="4" w:space="0" w:color="auto"/>
            </w:tcBorders>
          </w:tcPr>
          <w:p w14:paraId="37FCDED6"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D</w:t>
            </w:r>
          </w:p>
          <w:p w14:paraId="7AFD9373"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Stark-Mahoning</w:t>
            </w:r>
          </w:p>
          <w:p w14:paraId="6D0EAF91"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Around</w:t>
            </w:r>
          </w:p>
          <w:p w14:paraId="67723334"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Canton &amp;</w:t>
            </w:r>
          </w:p>
          <w:p w14:paraId="23233087"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Youngstown</w:t>
            </w:r>
          </w:p>
        </w:tc>
        <w:tc>
          <w:tcPr>
            <w:tcW w:w="1241" w:type="dxa"/>
            <w:tcBorders>
              <w:bottom w:val="single" w:sz="4" w:space="0" w:color="auto"/>
            </w:tcBorders>
          </w:tcPr>
          <w:p w14:paraId="18096E55"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E</w:t>
            </w:r>
          </w:p>
          <w:p w14:paraId="3CDA6AB3"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West Central</w:t>
            </w:r>
          </w:p>
          <w:p w14:paraId="223C3B3B"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Near Dayton</w:t>
            </w:r>
          </w:p>
          <w:p w14:paraId="7BB916FA"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Springfield</w:t>
            </w:r>
          </w:p>
        </w:tc>
        <w:tc>
          <w:tcPr>
            <w:tcW w:w="1074" w:type="dxa"/>
            <w:tcBorders>
              <w:bottom w:val="single" w:sz="4" w:space="0" w:color="auto"/>
            </w:tcBorders>
          </w:tcPr>
          <w:p w14:paraId="06B37F24"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F</w:t>
            </w:r>
          </w:p>
          <w:p w14:paraId="2F21478B"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Central near</w:t>
            </w:r>
          </w:p>
          <w:p w14:paraId="2AC27391"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Columbus</w:t>
            </w:r>
          </w:p>
        </w:tc>
        <w:tc>
          <w:tcPr>
            <w:tcW w:w="1164" w:type="dxa"/>
            <w:tcBorders>
              <w:bottom w:val="single" w:sz="4" w:space="0" w:color="auto"/>
            </w:tcBorders>
          </w:tcPr>
          <w:p w14:paraId="00D853E0"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G</w:t>
            </w:r>
          </w:p>
          <w:p w14:paraId="061675D2"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Appalachia</w:t>
            </w:r>
          </w:p>
          <w:p w14:paraId="26B2AAAB"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Carroll</w:t>
            </w:r>
          </w:p>
          <w:p w14:paraId="2F4A3BFF"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to Meigs</w:t>
            </w:r>
          </w:p>
        </w:tc>
        <w:tc>
          <w:tcPr>
            <w:tcW w:w="1109" w:type="dxa"/>
            <w:tcBorders>
              <w:bottom w:val="single" w:sz="4" w:space="0" w:color="auto"/>
            </w:tcBorders>
          </w:tcPr>
          <w:p w14:paraId="4DEC5FF8"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H</w:t>
            </w:r>
          </w:p>
          <w:p w14:paraId="002A8361"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Southwest</w:t>
            </w:r>
          </w:p>
          <w:p w14:paraId="79FEC699"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Cincinnati</w:t>
            </w:r>
          </w:p>
        </w:tc>
        <w:tc>
          <w:tcPr>
            <w:tcW w:w="1127" w:type="dxa"/>
            <w:tcBorders>
              <w:bottom w:val="single" w:sz="4" w:space="0" w:color="auto"/>
            </w:tcBorders>
          </w:tcPr>
          <w:p w14:paraId="3E15DBC9"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I</w:t>
            </w:r>
          </w:p>
          <w:p w14:paraId="679D8E27"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Appalachia</w:t>
            </w:r>
          </w:p>
          <w:p w14:paraId="226349BC"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Gallia to</w:t>
            </w:r>
          </w:p>
          <w:p w14:paraId="5610636C" w14:textId="77777777" w:rsidR="00356304" w:rsidRDefault="00356304" w:rsidP="00356304">
            <w:pPr>
              <w:jc w:val="center"/>
              <w:rPr>
                <w:rFonts w:ascii="Times New Roman" w:hAnsi="Times New Roman" w:cs="Times New Roman"/>
                <w:sz w:val="20"/>
                <w:szCs w:val="20"/>
              </w:rPr>
            </w:pPr>
            <w:r>
              <w:rPr>
                <w:rFonts w:ascii="Times New Roman" w:hAnsi="Times New Roman" w:cs="Times New Roman"/>
                <w:sz w:val="20"/>
                <w:szCs w:val="20"/>
              </w:rPr>
              <w:t>Clinton</w:t>
            </w:r>
          </w:p>
        </w:tc>
      </w:tr>
      <w:tr w:rsidR="00EC160A" w14:paraId="114B2919" w14:textId="77777777" w:rsidTr="000030FF">
        <w:tc>
          <w:tcPr>
            <w:tcW w:w="2695" w:type="dxa"/>
          </w:tcPr>
          <w:p w14:paraId="4FE0684D" w14:textId="77777777" w:rsidR="00356304" w:rsidRDefault="00356304" w:rsidP="00356304">
            <w:pPr>
              <w:rPr>
                <w:rFonts w:ascii="Times New Roman" w:hAnsi="Times New Roman" w:cs="Times New Roman"/>
                <w:sz w:val="20"/>
                <w:szCs w:val="20"/>
              </w:rPr>
            </w:pPr>
            <w:r>
              <w:rPr>
                <w:rFonts w:ascii="Times New Roman" w:hAnsi="Times New Roman" w:cs="Times New Roman"/>
                <w:sz w:val="20"/>
                <w:szCs w:val="20"/>
              </w:rPr>
              <w:t>Population</w:t>
            </w:r>
          </w:p>
        </w:tc>
        <w:tc>
          <w:tcPr>
            <w:tcW w:w="845" w:type="dxa"/>
            <w:tcBorders>
              <w:top w:val="single" w:sz="4" w:space="0" w:color="auto"/>
              <w:left w:val="nil"/>
              <w:bottom w:val="single" w:sz="4" w:space="0" w:color="auto"/>
              <w:right w:val="single" w:sz="4" w:space="0" w:color="auto"/>
            </w:tcBorders>
            <w:shd w:val="clear" w:color="auto" w:fill="auto"/>
          </w:tcPr>
          <w:p w14:paraId="6F0E3FD1" w14:textId="65200AAB"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961,614 </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0B319B5" w14:textId="7ED18BC4"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2,864,784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1EDF412" w14:textId="24D42C86"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510,652 </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bottom"/>
          </w:tcPr>
          <w:p w14:paraId="60B91CAC" w14:textId="72CF66ED"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1,006,586 </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88DCCEC" w14:textId="2D2C7BD6"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1,466,374 </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32FB5CCA" w14:textId="059201A4"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2,395,015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7023902A" w14:textId="68543521"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408,621 </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F5E92D8" w14:textId="34646B5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1,610,439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0A343E6A" w14:textId="414A3CA3"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385,671 </w:t>
            </w:r>
          </w:p>
        </w:tc>
      </w:tr>
      <w:tr w:rsidR="00EC160A" w:rsidRPr="00356304" w14:paraId="2F81A99B" w14:textId="77777777" w:rsidTr="000030FF">
        <w:tc>
          <w:tcPr>
            <w:tcW w:w="2695" w:type="dxa"/>
          </w:tcPr>
          <w:p w14:paraId="0B746D97" w14:textId="77777777" w:rsidR="00356304" w:rsidRDefault="00356304" w:rsidP="00356304">
            <w:pPr>
              <w:rPr>
                <w:rFonts w:ascii="Times New Roman" w:hAnsi="Times New Roman" w:cs="Times New Roman"/>
                <w:sz w:val="20"/>
                <w:szCs w:val="20"/>
              </w:rPr>
            </w:pPr>
            <w:r w:rsidRPr="00356304">
              <w:rPr>
                <w:rFonts w:ascii="Times New Roman" w:hAnsi="Times New Roman" w:cs="Times New Roman"/>
                <w:sz w:val="20"/>
                <w:szCs w:val="20"/>
              </w:rPr>
              <w:t>Number of youths ever in UI &amp; born 1994 - 2000</w:t>
            </w:r>
          </w:p>
        </w:tc>
        <w:tc>
          <w:tcPr>
            <w:tcW w:w="845" w:type="dxa"/>
            <w:tcBorders>
              <w:top w:val="single" w:sz="4" w:space="0" w:color="auto"/>
              <w:left w:val="nil"/>
              <w:bottom w:val="single" w:sz="4" w:space="0" w:color="auto"/>
              <w:right w:val="single" w:sz="4" w:space="0" w:color="auto"/>
            </w:tcBorders>
            <w:shd w:val="clear" w:color="auto" w:fill="auto"/>
          </w:tcPr>
          <w:p w14:paraId="0C9CF49A" w14:textId="770FFC13"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82,642 </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C607B01" w14:textId="1949D73A"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237,162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C5BC502" w14:textId="6F44F343"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44,435 </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bottom"/>
          </w:tcPr>
          <w:p w14:paraId="07A1AA15" w14:textId="31F2FD78" w:rsidR="00356304" w:rsidRPr="00356304" w:rsidRDefault="00077A44" w:rsidP="00077A44">
            <w:pPr>
              <w:jc w:val="right"/>
              <w:rPr>
                <w:rFonts w:ascii="Times New Roman" w:hAnsi="Times New Roman" w:cs="Times New Roman"/>
                <w:sz w:val="20"/>
                <w:szCs w:val="20"/>
              </w:rPr>
            </w:pPr>
            <w:r>
              <w:rPr>
                <w:rFonts w:ascii="Times New Roman" w:hAnsi="Times New Roman" w:cs="Times New Roman"/>
                <w:sz w:val="20"/>
                <w:szCs w:val="20"/>
              </w:rPr>
              <w:t>82,457</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0069EA0" w14:textId="503DB7E2"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125,364 </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9004666" w14:textId="07C25BF0"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205,860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A99B4F0" w14:textId="41B013ED"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27,484 </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5BF14A9" w14:textId="3EC07976"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142,110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5E885715" w14:textId="10830972"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28,520 </w:t>
            </w:r>
          </w:p>
        </w:tc>
      </w:tr>
      <w:tr w:rsidR="00EC160A" w:rsidRPr="00356304" w14:paraId="64AFFC85" w14:textId="77777777" w:rsidTr="000030FF">
        <w:tc>
          <w:tcPr>
            <w:tcW w:w="2695" w:type="dxa"/>
          </w:tcPr>
          <w:p w14:paraId="1C546525" w14:textId="77777777" w:rsidR="00356304" w:rsidRPr="00356304" w:rsidRDefault="00356304" w:rsidP="00356304">
            <w:pPr>
              <w:rPr>
                <w:rFonts w:ascii="Times New Roman" w:hAnsi="Times New Roman" w:cs="Times New Roman"/>
                <w:sz w:val="20"/>
                <w:szCs w:val="20"/>
              </w:rPr>
            </w:pPr>
            <w:r w:rsidRPr="00356304">
              <w:rPr>
                <w:rFonts w:ascii="Times New Roman" w:hAnsi="Times New Roman" w:cs="Times New Roman"/>
                <w:sz w:val="20"/>
                <w:szCs w:val="20"/>
              </w:rPr>
              <w:t>Number of youths in BMV born 1994-2000</w:t>
            </w:r>
          </w:p>
        </w:tc>
        <w:tc>
          <w:tcPr>
            <w:tcW w:w="845" w:type="dxa"/>
            <w:tcBorders>
              <w:top w:val="single" w:sz="4" w:space="0" w:color="auto"/>
              <w:left w:val="nil"/>
              <w:bottom w:val="single" w:sz="4" w:space="0" w:color="auto"/>
              <w:right w:val="single" w:sz="4" w:space="0" w:color="auto"/>
            </w:tcBorders>
            <w:shd w:val="clear" w:color="auto" w:fill="auto"/>
          </w:tcPr>
          <w:p w14:paraId="6CB8FB01" w14:textId="04D45771"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91,893 </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F8248E8" w14:textId="3984843D"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267,535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433A35B" w14:textId="3343403B"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48,026 </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bottom"/>
          </w:tcPr>
          <w:p w14:paraId="1C0EA0F1" w14:textId="7ED6352B"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93,452 </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84110F1" w14:textId="68A492B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139,097 </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333F41F" w14:textId="05A08881"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230,646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B292BCB" w14:textId="4584E4E3"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33,692 </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6581DF30" w14:textId="340049A5" w:rsidR="00356304" w:rsidRPr="00356304" w:rsidRDefault="00077A44" w:rsidP="00077A44">
            <w:pPr>
              <w:jc w:val="right"/>
              <w:rPr>
                <w:rFonts w:ascii="Times New Roman" w:hAnsi="Times New Roman" w:cs="Times New Roman"/>
                <w:sz w:val="20"/>
                <w:szCs w:val="20"/>
              </w:rPr>
            </w:pPr>
            <w:r>
              <w:rPr>
                <w:rFonts w:ascii="Times New Roman" w:hAnsi="Times New Roman" w:cs="Times New Roman"/>
                <w:sz w:val="20"/>
                <w:szCs w:val="20"/>
              </w:rPr>
              <w:t xml:space="preserve">   </w:t>
            </w:r>
            <w:r w:rsidR="00356304" w:rsidRPr="00356304">
              <w:rPr>
                <w:rFonts w:ascii="Times New Roman" w:hAnsi="Times New Roman" w:cs="Times New Roman"/>
                <w:sz w:val="20"/>
                <w:szCs w:val="20"/>
              </w:rPr>
              <w:t xml:space="preserve">157,640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425C297A" w14:textId="7AD637F5"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 xml:space="preserve">35,111 </w:t>
            </w:r>
          </w:p>
        </w:tc>
      </w:tr>
      <w:tr w:rsidR="00EC160A" w:rsidRPr="00356304" w14:paraId="4DCA6760" w14:textId="77777777" w:rsidTr="00EC160A">
        <w:tc>
          <w:tcPr>
            <w:tcW w:w="2695" w:type="dxa"/>
          </w:tcPr>
          <w:p w14:paraId="4E7753EE" w14:textId="77777777" w:rsidR="00356304" w:rsidRPr="00356304" w:rsidRDefault="00356304" w:rsidP="00356304">
            <w:pPr>
              <w:rPr>
                <w:rFonts w:ascii="Times New Roman" w:hAnsi="Times New Roman" w:cs="Times New Roman"/>
                <w:sz w:val="20"/>
                <w:szCs w:val="20"/>
              </w:rPr>
            </w:pPr>
            <w:r w:rsidRPr="00356304">
              <w:rPr>
                <w:rFonts w:ascii="Times New Roman" w:hAnsi="Times New Roman" w:cs="Times New Roman"/>
                <w:sz w:val="20"/>
                <w:szCs w:val="20"/>
              </w:rPr>
              <w:t>Ratio of youths in BMV to total population</w:t>
            </w:r>
          </w:p>
        </w:tc>
        <w:tc>
          <w:tcPr>
            <w:tcW w:w="845" w:type="dxa"/>
            <w:tcBorders>
              <w:top w:val="single" w:sz="4" w:space="0" w:color="auto"/>
              <w:left w:val="nil"/>
              <w:bottom w:val="single" w:sz="4" w:space="0" w:color="auto"/>
              <w:right w:val="single" w:sz="4" w:space="0" w:color="auto"/>
            </w:tcBorders>
            <w:shd w:val="clear" w:color="auto" w:fill="auto"/>
          </w:tcPr>
          <w:p w14:paraId="52DBB497"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9.56%</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1ABEA9B"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9.34%</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B542FC6"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9.40%</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77B9953E"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9.28%</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59F7552"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9.49%</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1647FC3"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9.63%</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78645CA"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8.25%</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35302A3B"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9.79%</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13D0D6BA"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9.10%</w:t>
            </w:r>
          </w:p>
        </w:tc>
      </w:tr>
      <w:tr w:rsidR="00EC160A" w:rsidRPr="00356304" w14:paraId="47354086" w14:textId="77777777" w:rsidTr="00EC160A">
        <w:tc>
          <w:tcPr>
            <w:tcW w:w="2695" w:type="dxa"/>
          </w:tcPr>
          <w:p w14:paraId="68ECA47D" w14:textId="77777777" w:rsidR="00356304" w:rsidRPr="00356304" w:rsidRDefault="00356304" w:rsidP="00356304">
            <w:pPr>
              <w:rPr>
                <w:rFonts w:ascii="Times New Roman" w:hAnsi="Times New Roman" w:cs="Times New Roman"/>
                <w:sz w:val="20"/>
                <w:szCs w:val="20"/>
              </w:rPr>
            </w:pPr>
            <w:r w:rsidRPr="00356304">
              <w:rPr>
                <w:rFonts w:ascii="Times New Roman" w:hAnsi="Times New Roman" w:cs="Times New Roman"/>
                <w:sz w:val="20"/>
                <w:szCs w:val="20"/>
              </w:rPr>
              <w:t>Ratio of youth in UI to youth in BMV</w:t>
            </w:r>
          </w:p>
        </w:tc>
        <w:tc>
          <w:tcPr>
            <w:tcW w:w="845" w:type="dxa"/>
            <w:tcBorders>
              <w:top w:val="single" w:sz="4" w:space="0" w:color="auto"/>
              <w:left w:val="nil"/>
              <w:bottom w:val="single" w:sz="4" w:space="0" w:color="auto"/>
              <w:right w:val="single" w:sz="4" w:space="0" w:color="auto"/>
            </w:tcBorders>
            <w:shd w:val="clear" w:color="auto" w:fill="auto"/>
          </w:tcPr>
          <w:p w14:paraId="596F4EB6"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89.93%</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E2B8D43"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88.65%</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D70176"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92.52%</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E5FAF3B"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88.23%</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7D26073"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90.13%</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CCAD279"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89.25%</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0BF95CBA"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81.57%</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78670D48"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90.15%</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756876"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81.23%</w:t>
            </w:r>
          </w:p>
        </w:tc>
      </w:tr>
      <w:tr w:rsidR="00EC160A" w:rsidRPr="00356304" w14:paraId="4B08FFFB" w14:textId="77777777" w:rsidTr="00EC160A">
        <w:tc>
          <w:tcPr>
            <w:tcW w:w="2695" w:type="dxa"/>
          </w:tcPr>
          <w:p w14:paraId="60F91D5C" w14:textId="77777777" w:rsidR="00356304" w:rsidRPr="00356304" w:rsidRDefault="00356304" w:rsidP="00356304">
            <w:pPr>
              <w:rPr>
                <w:rFonts w:ascii="Times New Roman" w:hAnsi="Times New Roman" w:cs="Times New Roman"/>
                <w:sz w:val="20"/>
                <w:szCs w:val="20"/>
              </w:rPr>
            </w:pPr>
            <w:r w:rsidRPr="00356304">
              <w:rPr>
                <w:rFonts w:ascii="Times New Roman" w:hAnsi="Times New Roman" w:cs="Times New Roman"/>
                <w:sz w:val="20"/>
                <w:szCs w:val="20"/>
              </w:rPr>
              <w:t>% in Youth Intensive Industries Q2 2016 - Q1 2017</w:t>
            </w:r>
          </w:p>
        </w:tc>
        <w:tc>
          <w:tcPr>
            <w:tcW w:w="845" w:type="dxa"/>
            <w:tcBorders>
              <w:top w:val="single" w:sz="4" w:space="0" w:color="auto"/>
              <w:left w:val="nil"/>
              <w:bottom w:val="single" w:sz="4" w:space="0" w:color="auto"/>
              <w:right w:val="single" w:sz="4" w:space="0" w:color="auto"/>
            </w:tcBorders>
            <w:shd w:val="clear" w:color="auto" w:fill="auto"/>
          </w:tcPr>
          <w:p w14:paraId="4FE8339A"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51.18%</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A108B57"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48.94%</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BE4DC5"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46.65%</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2ABA24C8"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49.31%</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4221D88F"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51.48%</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277DBFDD"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51.59%</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E3659ED"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41.82%</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624AE5E"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49.44%</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8421ABF"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45.79%</w:t>
            </w:r>
          </w:p>
        </w:tc>
      </w:tr>
      <w:tr w:rsidR="00EC160A" w:rsidRPr="00356304" w14:paraId="36AF2CB7" w14:textId="77777777" w:rsidTr="00EC160A">
        <w:tc>
          <w:tcPr>
            <w:tcW w:w="2695" w:type="dxa"/>
          </w:tcPr>
          <w:p w14:paraId="33511DEC" w14:textId="77777777" w:rsidR="00356304" w:rsidRPr="00356304" w:rsidRDefault="00356304" w:rsidP="00356304">
            <w:pPr>
              <w:rPr>
                <w:rFonts w:ascii="Times New Roman" w:hAnsi="Times New Roman" w:cs="Times New Roman"/>
                <w:sz w:val="20"/>
                <w:szCs w:val="20"/>
              </w:rPr>
            </w:pPr>
            <w:r w:rsidRPr="00356304">
              <w:rPr>
                <w:rFonts w:ascii="Times New Roman" w:hAnsi="Times New Roman" w:cs="Times New Roman"/>
                <w:sz w:val="20"/>
                <w:szCs w:val="20"/>
              </w:rPr>
              <w:t xml:space="preserve">Return to experience </w:t>
            </w:r>
          </w:p>
          <w:p w14:paraId="49F5A320" w14:textId="77777777" w:rsidR="00356304" w:rsidRPr="00356304" w:rsidRDefault="00356304" w:rsidP="00356304">
            <w:pPr>
              <w:rPr>
                <w:rFonts w:ascii="Times New Roman" w:hAnsi="Times New Roman" w:cs="Times New Roman"/>
                <w:sz w:val="20"/>
                <w:szCs w:val="20"/>
              </w:rPr>
            </w:pPr>
            <w:r w:rsidRPr="00356304">
              <w:rPr>
                <w:rFonts w:ascii="Times New Roman" w:hAnsi="Times New Roman" w:cs="Times New Roman"/>
                <w:sz w:val="20"/>
                <w:szCs w:val="20"/>
              </w:rPr>
              <w:t>- same employer</w:t>
            </w:r>
          </w:p>
        </w:tc>
        <w:tc>
          <w:tcPr>
            <w:tcW w:w="845" w:type="dxa"/>
            <w:tcBorders>
              <w:top w:val="single" w:sz="4" w:space="0" w:color="auto"/>
              <w:left w:val="nil"/>
              <w:bottom w:val="single" w:sz="4" w:space="0" w:color="auto"/>
              <w:right w:val="single" w:sz="4" w:space="0" w:color="auto"/>
            </w:tcBorders>
            <w:shd w:val="clear" w:color="auto" w:fill="auto"/>
          </w:tcPr>
          <w:p w14:paraId="6F7FEBE6"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13.47%</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989B844"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14.20%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36EB6C8"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16.06%</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9670BB1"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13.19%</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1387ADD"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14.97%</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ECE49E6"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15.64%</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5AF5DFAF"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13.11%</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5932254"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14.36%</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1898BD9F" w14:textId="77777777" w:rsidR="00356304" w:rsidRPr="00356304" w:rsidRDefault="00356304" w:rsidP="00077A44">
            <w:pPr>
              <w:jc w:val="right"/>
              <w:rPr>
                <w:rFonts w:ascii="Times New Roman" w:hAnsi="Times New Roman" w:cs="Times New Roman"/>
                <w:sz w:val="20"/>
                <w:szCs w:val="20"/>
              </w:rPr>
            </w:pPr>
            <w:r w:rsidRPr="00356304">
              <w:rPr>
                <w:rFonts w:ascii="Times New Roman" w:hAnsi="Times New Roman" w:cs="Times New Roman"/>
                <w:sz w:val="20"/>
                <w:szCs w:val="20"/>
              </w:rPr>
              <w:t>13.06%</w:t>
            </w:r>
          </w:p>
        </w:tc>
      </w:tr>
    </w:tbl>
    <w:p w14:paraId="79534BE8" w14:textId="77777777" w:rsidR="00356304" w:rsidRDefault="00356304" w:rsidP="00356304">
      <w:pPr>
        <w:rPr>
          <w:rFonts w:ascii="Times New Roman" w:hAnsi="Times New Roman" w:cs="Times New Roman"/>
          <w:sz w:val="20"/>
          <w:szCs w:val="20"/>
        </w:rPr>
        <w:sectPr w:rsidR="00356304" w:rsidSect="0015794D">
          <w:pgSz w:w="15840" w:h="12240" w:orient="landscape"/>
          <w:pgMar w:top="1440" w:right="1440" w:bottom="1440" w:left="1440" w:header="720" w:footer="720" w:gutter="0"/>
          <w:cols w:space="720"/>
          <w:docGrid w:linePitch="360"/>
        </w:sectPr>
      </w:pPr>
    </w:p>
    <w:p w14:paraId="0B9404E9" w14:textId="0ADB0C08" w:rsidR="002953CE" w:rsidRDefault="00EC160A" w:rsidP="00AC6265">
      <w:pPr>
        <w:jc w:val="both"/>
        <w:rPr>
          <w:rFonts w:ascii="Times New Roman" w:hAnsi="Times New Roman" w:cs="Times New Roman"/>
        </w:rPr>
      </w:pPr>
      <w:r w:rsidRPr="00E92C63">
        <w:rPr>
          <w:rFonts w:ascii="Times New Roman" w:hAnsi="Times New Roman" w:cs="Times New Roman"/>
        </w:rPr>
        <w:lastRenderedPageBreak/>
        <w:t xml:space="preserve">For over half a century, </w:t>
      </w:r>
      <w:r w:rsidR="00E92C63" w:rsidRPr="00E92C63">
        <w:rPr>
          <w:rFonts w:ascii="Times New Roman" w:hAnsi="Times New Roman" w:cs="Times New Roman"/>
        </w:rPr>
        <w:t xml:space="preserve">many commentators have discussed </w:t>
      </w:r>
      <w:r w:rsidRPr="00E92C63">
        <w:rPr>
          <w:rFonts w:ascii="Times New Roman" w:hAnsi="Times New Roman" w:cs="Times New Roman"/>
        </w:rPr>
        <w:t>the labor market problems in Appalachia</w:t>
      </w:r>
      <w:r w:rsidR="00E92C63" w:rsidRPr="00E92C63">
        <w:rPr>
          <w:rFonts w:ascii="Times New Roman" w:hAnsi="Times New Roman" w:cs="Times New Roman"/>
        </w:rPr>
        <w:t xml:space="preserve">. </w:t>
      </w:r>
      <w:r w:rsidR="00E92C63">
        <w:rPr>
          <w:rFonts w:ascii="Times New Roman" w:hAnsi="Times New Roman" w:cs="Times New Roman"/>
        </w:rPr>
        <w:t xml:space="preserve">The labor market measures in Table 6 reinforce the standard view of Appalachia.  The rate of return to staying with an employer is 2-3% lower than we see in the very strong labor markets elsewhere in Ohio.  The northern branch of Appalachian counties </w:t>
      </w:r>
      <w:r w:rsidR="004B0FAD">
        <w:rPr>
          <w:rFonts w:ascii="Times New Roman" w:hAnsi="Times New Roman" w:cs="Times New Roman"/>
        </w:rPr>
        <w:t>show a remarkable weakness in the lack of opportunities in the industries that provide significant employment for youths.  The band of counties along the Ohio River from Carroll to Meigs have a lot of shale and gas</w:t>
      </w:r>
      <w:r w:rsidR="002953CE">
        <w:rPr>
          <w:rFonts w:ascii="Times New Roman" w:hAnsi="Times New Roman" w:cs="Times New Roman"/>
        </w:rPr>
        <w:t xml:space="preserve"> (see Figure </w:t>
      </w:r>
      <w:r w:rsidR="002B1D0F">
        <w:rPr>
          <w:rFonts w:ascii="Times New Roman" w:hAnsi="Times New Roman" w:cs="Times New Roman"/>
        </w:rPr>
        <w:t>3</w:t>
      </w:r>
      <w:r w:rsidR="002953CE">
        <w:rPr>
          <w:rFonts w:ascii="Times New Roman" w:hAnsi="Times New Roman" w:cs="Times New Roman"/>
        </w:rPr>
        <w:t>)</w:t>
      </w:r>
      <w:r w:rsidR="004B0FAD">
        <w:rPr>
          <w:rFonts w:ascii="Times New Roman" w:hAnsi="Times New Roman" w:cs="Times New Roman"/>
        </w:rPr>
        <w:t xml:space="preserve">. </w:t>
      </w:r>
    </w:p>
    <w:p w14:paraId="488D1B69" w14:textId="1BD54A38" w:rsidR="002953CE" w:rsidRDefault="008A6CEE" w:rsidP="008A6CEE">
      <w:pPr>
        <w:spacing w:after="0"/>
        <w:jc w:val="center"/>
        <w:rPr>
          <w:rFonts w:ascii="Times New Roman" w:hAnsi="Times New Roman" w:cs="Times New Roman"/>
        </w:rPr>
      </w:pPr>
      <w:r>
        <w:rPr>
          <w:rFonts w:ascii="Times New Roman" w:hAnsi="Times New Roman" w:cs="Times New Roman"/>
        </w:rPr>
        <w:t xml:space="preserve">Figure </w:t>
      </w:r>
      <w:r w:rsidR="002B1D0F">
        <w:rPr>
          <w:rFonts w:ascii="Times New Roman" w:hAnsi="Times New Roman" w:cs="Times New Roman"/>
        </w:rPr>
        <w:t>3</w:t>
      </w:r>
    </w:p>
    <w:p w14:paraId="686170E5" w14:textId="77777777" w:rsidR="008A6CEE" w:rsidRDefault="008A6CEE" w:rsidP="008A6CEE">
      <w:pPr>
        <w:spacing w:after="0"/>
        <w:jc w:val="center"/>
        <w:rPr>
          <w:rFonts w:ascii="Times New Roman" w:hAnsi="Times New Roman" w:cs="Times New Roman"/>
        </w:rPr>
      </w:pPr>
      <w:r>
        <w:rPr>
          <w:rFonts w:ascii="Times New Roman" w:hAnsi="Times New Roman" w:cs="Times New Roman"/>
        </w:rPr>
        <w:t>Marcellus Shale in Ohio</w:t>
      </w:r>
    </w:p>
    <w:p w14:paraId="7D34F4A7" w14:textId="77777777" w:rsidR="008A6CEE" w:rsidRDefault="008A6CEE" w:rsidP="008A6CEE">
      <w:pPr>
        <w:spacing w:after="0"/>
        <w:jc w:val="center"/>
        <w:rPr>
          <w:rFonts w:ascii="Times New Roman" w:hAnsi="Times New Roman" w:cs="Times New Roman"/>
        </w:rPr>
      </w:pPr>
    </w:p>
    <w:p w14:paraId="739AA759" w14:textId="77777777" w:rsidR="002953CE" w:rsidRDefault="002953CE" w:rsidP="008A6CEE">
      <w:pPr>
        <w:jc w:val="center"/>
        <w:rPr>
          <w:rFonts w:ascii="Times New Roman" w:hAnsi="Times New Roman" w:cs="Times New Roman"/>
        </w:rPr>
      </w:pPr>
      <w:r>
        <w:rPr>
          <w:noProof/>
        </w:rPr>
        <w:drawing>
          <wp:inline distT="0" distB="0" distL="0" distR="0" wp14:anchorId="05101A27" wp14:editId="4A69FC13">
            <wp:extent cx="3060645" cy="3212037"/>
            <wp:effectExtent l="0" t="0" r="6985" b="7620"/>
            <wp:docPr id="22" name="Picture 22" descr="https://www.sourcewatch.org/images/3/31/OhioShaleMap.jpg&#10;&#10;Marcellus foundation runs along Ohio's eastern border to Washington county.  Utica structure is west of Marcellus going south to Pickaway county east by southeast to Meigs county." title="Shale counties in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rcewatch.org/images/3/31/OhioShale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2067" cy="3234519"/>
                    </a:xfrm>
                    <a:prstGeom prst="rect">
                      <a:avLst/>
                    </a:prstGeom>
                    <a:noFill/>
                    <a:ln>
                      <a:noFill/>
                    </a:ln>
                  </pic:spPr>
                </pic:pic>
              </a:graphicData>
            </a:graphic>
          </wp:inline>
        </w:drawing>
      </w:r>
    </w:p>
    <w:p w14:paraId="0F12E4C4" w14:textId="77777777" w:rsidR="002953CE" w:rsidRDefault="002953CE" w:rsidP="00E92C63">
      <w:pPr>
        <w:rPr>
          <w:rFonts w:ascii="Times New Roman" w:hAnsi="Times New Roman" w:cs="Times New Roman"/>
        </w:rPr>
      </w:pPr>
    </w:p>
    <w:p w14:paraId="62DEE82D" w14:textId="77777777" w:rsidR="00504778" w:rsidRDefault="004B0FAD" w:rsidP="00AC6265">
      <w:pPr>
        <w:jc w:val="both"/>
        <w:rPr>
          <w:rFonts w:ascii="Times New Roman" w:hAnsi="Times New Roman" w:cs="Times New Roman"/>
        </w:rPr>
      </w:pPr>
      <w:r>
        <w:rPr>
          <w:rFonts w:ascii="Times New Roman" w:hAnsi="Times New Roman" w:cs="Times New Roman"/>
        </w:rPr>
        <w:t>While important economically</w:t>
      </w:r>
      <w:r w:rsidR="00504778">
        <w:rPr>
          <w:rFonts w:ascii="Times New Roman" w:hAnsi="Times New Roman" w:cs="Times New Roman"/>
        </w:rPr>
        <w:t xml:space="preserve">, once fracking moves out of the drilling phase, the production work requires more skilled workers.  </w:t>
      </w:r>
      <w:r w:rsidR="00504778" w:rsidRPr="00837AEF">
        <w:rPr>
          <w:rFonts w:ascii="Times New Roman" w:hAnsi="Times New Roman" w:cs="Times New Roman"/>
          <w:b/>
        </w:rPr>
        <w:t xml:space="preserve">Finally, looking at the fraction of youths born 1994-2000 who have ever worked, we see the Appalachian counties have “ever employed” rates about ten percentage points less than elsewhere in Ohio. </w:t>
      </w:r>
      <w:r w:rsidR="00BF09FF" w:rsidRPr="00837AEF">
        <w:rPr>
          <w:rFonts w:ascii="Times New Roman" w:hAnsi="Times New Roman" w:cs="Times New Roman"/>
          <w:b/>
        </w:rPr>
        <w:t xml:space="preserve"> This suggests the positive effects of fracking have not overcome the historical disadvantages of Ohio’s Appalachian region</w:t>
      </w:r>
      <w:r w:rsidR="004E4BA8" w:rsidRPr="00837AEF">
        <w:rPr>
          <w:rFonts w:ascii="Times New Roman" w:hAnsi="Times New Roman" w:cs="Times New Roman"/>
          <w:b/>
        </w:rPr>
        <w:t>.</w:t>
      </w:r>
      <w:r w:rsidR="00BF09FF">
        <w:rPr>
          <w:rFonts w:ascii="Times New Roman" w:hAnsi="Times New Roman" w:cs="Times New Roman"/>
        </w:rPr>
        <w:t xml:space="preserve"> </w:t>
      </w:r>
      <w:r w:rsidR="00504778">
        <w:rPr>
          <w:rFonts w:ascii="Times New Roman" w:hAnsi="Times New Roman" w:cs="Times New Roman"/>
        </w:rPr>
        <w:t xml:space="preserve"> </w:t>
      </w:r>
    </w:p>
    <w:p w14:paraId="1C7DF04C" w14:textId="77777777" w:rsidR="00356304" w:rsidRPr="00E92C63" w:rsidRDefault="00504778" w:rsidP="00AC6265">
      <w:pPr>
        <w:jc w:val="both"/>
        <w:rPr>
          <w:rFonts w:ascii="Times New Roman" w:hAnsi="Times New Roman" w:cs="Times New Roman"/>
        </w:rPr>
      </w:pPr>
      <w:r>
        <w:rPr>
          <w:rFonts w:ascii="Times New Roman" w:hAnsi="Times New Roman" w:cs="Times New Roman"/>
        </w:rPr>
        <w:t>We will use these three metrics for labor market conditions in Ohio as regressors in our difference-in-difference equations to quantify the degree to which labor market conditions differ across Ohio</w:t>
      </w:r>
      <w:r w:rsidR="00A26742">
        <w:rPr>
          <w:rFonts w:ascii="Times New Roman" w:hAnsi="Times New Roman" w:cs="Times New Roman"/>
        </w:rPr>
        <w:t xml:space="preserve">.  We will use these regressors </w:t>
      </w:r>
      <w:r>
        <w:rPr>
          <w:rFonts w:ascii="Times New Roman" w:hAnsi="Times New Roman" w:cs="Times New Roman"/>
        </w:rPr>
        <w:t>to determine whether differences in labor market conditions explain variation in career advancement</w:t>
      </w:r>
      <w:r w:rsidR="00A26742">
        <w:rPr>
          <w:rFonts w:ascii="Times New Roman" w:hAnsi="Times New Roman" w:cs="Times New Roman"/>
        </w:rPr>
        <w:t>.  This will attempt to</w:t>
      </w:r>
      <w:r w:rsidR="00DF3F3F">
        <w:rPr>
          <w:rFonts w:ascii="Times New Roman" w:hAnsi="Times New Roman" w:cs="Times New Roman"/>
        </w:rPr>
        <w:t xml:space="preserve"> control for labor market conditions that may differentiate outcome for WP counties versus counties that do not offer WP.  If we find that local labor market conditions do not explain variation in the difference-in-difference regressions, </w:t>
      </w:r>
      <w:r w:rsidR="00A26742">
        <w:rPr>
          <w:rFonts w:ascii="Times New Roman" w:hAnsi="Times New Roman" w:cs="Times New Roman"/>
        </w:rPr>
        <w:t xml:space="preserve">or their presence in the earnings regression does not affect the estimated impact of WP, </w:t>
      </w:r>
      <w:r w:rsidR="00DF3F3F">
        <w:rPr>
          <w:rFonts w:ascii="Times New Roman" w:hAnsi="Times New Roman" w:cs="Times New Roman"/>
        </w:rPr>
        <w:t>we can take that as evidence suggesting the clustering of the WP counties in the northern part of Ohio is less of a problem than one might have feared.</w:t>
      </w:r>
    </w:p>
    <w:p w14:paraId="2678674E" w14:textId="77777777" w:rsidR="003110C1" w:rsidRDefault="003110C1" w:rsidP="007877C2">
      <w:pPr>
        <w:pStyle w:val="Heading5"/>
        <w:ind w:left="720"/>
        <w:rPr>
          <w:rFonts w:ascii="Times New Roman" w:hAnsi="Times New Roman" w:cs="Times New Roman"/>
          <w:u w:val="single"/>
        </w:rPr>
      </w:pPr>
      <w:r w:rsidRPr="007877C2">
        <w:rPr>
          <w:rFonts w:ascii="Times New Roman" w:hAnsi="Times New Roman" w:cs="Times New Roman"/>
          <w:u w:val="single"/>
        </w:rPr>
        <w:lastRenderedPageBreak/>
        <w:t>Econometric Theory and Control vs Experimental</w:t>
      </w:r>
    </w:p>
    <w:p w14:paraId="741FF10D" w14:textId="77777777" w:rsidR="00A26742" w:rsidRDefault="00020319" w:rsidP="00AC6265">
      <w:pPr>
        <w:jc w:val="both"/>
        <w:rPr>
          <w:rFonts w:ascii="Times New Roman" w:hAnsi="Times New Roman" w:cs="Times New Roman"/>
        </w:rPr>
      </w:pPr>
      <w:r w:rsidRPr="00020319">
        <w:rPr>
          <w:rFonts w:ascii="Times New Roman" w:hAnsi="Times New Roman" w:cs="Times New Roman"/>
        </w:rPr>
        <w:t>In difference-in-difference evaluations, we look at the change in outcomes before and after the treatment for both people who received, or were eligible to receive, the treatment versus people (in the same or comparable periods) who were ineligible for the treatment.</w:t>
      </w:r>
      <w:r w:rsidRPr="00054471">
        <w:rPr>
          <w:vertAlign w:val="superscript"/>
        </w:rPr>
        <w:footnoteReference w:id="35"/>
      </w:r>
      <w:r w:rsidRPr="00020319">
        <w:rPr>
          <w:rFonts w:ascii="Times New Roman" w:hAnsi="Times New Roman" w:cs="Times New Roman"/>
        </w:rPr>
        <w:t xml:space="preserve">  When we speak of outcomes, we primarily mean quarterly UI earnings.  We collect</w:t>
      </w:r>
      <w:r>
        <w:rPr>
          <w:rFonts w:ascii="Times New Roman" w:hAnsi="Times New Roman" w:cs="Times New Roman"/>
        </w:rPr>
        <w:t>ed</w:t>
      </w:r>
      <w:r w:rsidRPr="00020319">
        <w:rPr>
          <w:rFonts w:ascii="Times New Roman" w:hAnsi="Times New Roman" w:cs="Times New Roman"/>
        </w:rPr>
        <w:t xml:space="preserve"> secondary outcomes in a separate survey effort.  Those secondary outcomes </w:t>
      </w:r>
      <w:r>
        <w:rPr>
          <w:rFonts w:ascii="Times New Roman" w:hAnsi="Times New Roman" w:cs="Times New Roman"/>
        </w:rPr>
        <w:t>are</w:t>
      </w:r>
      <w:r w:rsidRPr="00020319">
        <w:rPr>
          <w:rFonts w:ascii="Times New Roman" w:hAnsi="Times New Roman" w:cs="Times New Roman"/>
        </w:rPr>
        <w:t xml:space="preserve"> hourly rate of pay and usual hours per week.  We consider these secondary outcomes because, unlike the administrative data that will be complete for virtually all experimental and control cases, </w:t>
      </w:r>
      <w:r>
        <w:rPr>
          <w:rFonts w:ascii="Times New Roman" w:hAnsi="Times New Roman" w:cs="Times New Roman"/>
        </w:rPr>
        <w:t>not all CCMEP enrollees cooperated with the survey effort.</w:t>
      </w:r>
      <w:r w:rsidRPr="00020319">
        <w:rPr>
          <w:rFonts w:ascii="Times New Roman" w:hAnsi="Times New Roman" w:cs="Times New Roman"/>
        </w:rPr>
        <w:t xml:space="preserve">  </w:t>
      </w:r>
    </w:p>
    <w:p w14:paraId="086F7823" w14:textId="44F42F4F" w:rsidR="00717233" w:rsidRDefault="00020319" w:rsidP="00AC6265">
      <w:pPr>
        <w:jc w:val="both"/>
        <w:rPr>
          <w:rFonts w:ascii="Times New Roman" w:hAnsi="Times New Roman" w:cs="Times New Roman"/>
        </w:rPr>
      </w:pPr>
      <w:r w:rsidRPr="00020319">
        <w:rPr>
          <w:rFonts w:ascii="Times New Roman" w:hAnsi="Times New Roman" w:cs="Times New Roman"/>
        </w:rPr>
        <w:t>Consider a simple model where we observe, for each person i, an outcome Y at times t and t+1</w:t>
      </w:r>
      <w:r w:rsidR="00252416">
        <w:rPr>
          <w:rFonts w:ascii="Times New Roman" w:hAnsi="Times New Roman" w:cs="Times New Roman"/>
        </w:rPr>
        <w:t>:</w:t>
      </w:r>
      <w:r w:rsidR="00252416" w:rsidRPr="00020319">
        <w:rPr>
          <w:rFonts w:ascii="Times New Roman" w:hAnsi="Times New Roman" w:cs="Times New Roman"/>
        </w:rPr>
        <w:t xml:space="preserve"> </w:t>
      </w:r>
      <w:r w:rsidRPr="00020319">
        <w:rPr>
          <w:rFonts w:ascii="Times New Roman" w:hAnsi="Times New Roman" w:cs="Times New Roman"/>
        </w:rPr>
        <w:t xml:space="preserve">the “before” and “after” </w:t>
      </w:r>
      <w:r>
        <w:rPr>
          <w:rFonts w:ascii="Times New Roman" w:hAnsi="Times New Roman" w:cs="Times New Roman"/>
        </w:rPr>
        <w:t xml:space="preserve">program onset </w:t>
      </w:r>
      <w:r w:rsidRPr="00020319">
        <w:rPr>
          <w:rFonts w:ascii="Times New Roman" w:hAnsi="Times New Roman" w:cs="Times New Roman"/>
        </w:rPr>
        <w:t xml:space="preserve">periods, respectively.  CCMEP participants in Cuyahoga, Summit, Ottawa and Ashtabula </w:t>
      </w:r>
      <w:r w:rsidR="00C515BD">
        <w:rPr>
          <w:rFonts w:ascii="Times New Roman" w:hAnsi="Times New Roman" w:cs="Times New Roman"/>
        </w:rPr>
        <w:t xml:space="preserve">who entered WP started doing so in May (Ashtabula and Ottawa </w:t>
      </w:r>
      <w:r w:rsidR="00631A60">
        <w:rPr>
          <w:rFonts w:ascii="Times New Roman" w:hAnsi="Times New Roman" w:cs="Times New Roman"/>
        </w:rPr>
        <w:t>C</w:t>
      </w:r>
      <w:r w:rsidR="00C515BD">
        <w:rPr>
          <w:rFonts w:ascii="Times New Roman" w:hAnsi="Times New Roman" w:cs="Times New Roman"/>
        </w:rPr>
        <w:t xml:space="preserve">ounties) or October (Cuyahoga and Summit </w:t>
      </w:r>
      <w:r w:rsidR="00631A60">
        <w:rPr>
          <w:rFonts w:ascii="Times New Roman" w:hAnsi="Times New Roman" w:cs="Times New Roman"/>
        </w:rPr>
        <w:t>C</w:t>
      </w:r>
      <w:r w:rsidR="00C515BD">
        <w:rPr>
          <w:rFonts w:ascii="Times New Roman" w:hAnsi="Times New Roman" w:cs="Times New Roman"/>
        </w:rPr>
        <w:t>ounties).</w:t>
      </w:r>
      <w:r w:rsidRPr="00020319">
        <w:rPr>
          <w:rFonts w:ascii="Times New Roman" w:hAnsi="Times New Roman" w:cs="Times New Roman"/>
        </w:rPr>
        <w:t xml:space="preserve">  </w:t>
      </w:r>
      <w:r w:rsidR="00DD51D5">
        <w:rPr>
          <w:rFonts w:ascii="Times New Roman" w:hAnsi="Times New Roman" w:cs="Times New Roman"/>
        </w:rPr>
        <w:t xml:space="preserve">Our post-onset period needs to be four (or eight) quarters long to avoid seasonality and </w:t>
      </w:r>
      <w:r w:rsidR="00252416">
        <w:rPr>
          <w:rFonts w:ascii="Times New Roman" w:hAnsi="Times New Roman" w:cs="Times New Roman"/>
        </w:rPr>
        <w:t xml:space="preserve">we </w:t>
      </w:r>
      <w:r w:rsidR="00DD51D5">
        <w:rPr>
          <w:rFonts w:ascii="Times New Roman" w:hAnsi="Times New Roman" w:cs="Times New Roman"/>
        </w:rPr>
        <w:t xml:space="preserve">would like the post-onset period to end as late as possible to give the program more time to have an impact.  </w:t>
      </w:r>
      <w:r w:rsidR="00685BA7">
        <w:rPr>
          <w:rFonts w:ascii="Times New Roman" w:hAnsi="Times New Roman" w:cs="Times New Roman"/>
        </w:rPr>
        <w:t xml:space="preserve">We did not have enough data to cover eight post-onset quarters, so we used the four quarters from </w:t>
      </w:r>
      <w:r w:rsidR="00685BA7" w:rsidRPr="00685BA7">
        <w:rPr>
          <w:rFonts w:ascii="Times New Roman" w:hAnsi="Times New Roman" w:cs="Times New Roman"/>
        </w:rPr>
        <w:t>2</w:t>
      </w:r>
      <w:r w:rsidR="00685BA7">
        <w:rPr>
          <w:rFonts w:ascii="Times New Roman" w:hAnsi="Times New Roman" w:cs="Times New Roman"/>
        </w:rPr>
        <w:t xml:space="preserve">nd Quarter 2018 through 1st Quarter 2019 as our post-onset interval.  </w:t>
      </w:r>
      <w:r w:rsidRPr="00020319">
        <w:rPr>
          <w:rFonts w:ascii="Times New Roman" w:hAnsi="Times New Roman" w:cs="Times New Roman"/>
        </w:rPr>
        <w:t>The pre-</w:t>
      </w:r>
      <w:r w:rsidR="00DD51D5">
        <w:rPr>
          <w:rFonts w:ascii="Times New Roman" w:hAnsi="Times New Roman" w:cs="Times New Roman"/>
        </w:rPr>
        <w:t>onset period extend</w:t>
      </w:r>
      <w:r w:rsidR="00685BA7">
        <w:rPr>
          <w:rFonts w:ascii="Times New Roman" w:hAnsi="Times New Roman" w:cs="Times New Roman"/>
        </w:rPr>
        <w:t>s</w:t>
      </w:r>
      <w:r w:rsidR="00DD51D5">
        <w:rPr>
          <w:rFonts w:ascii="Times New Roman" w:hAnsi="Times New Roman" w:cs="Times New Roman"/>
        </w:rPr>
        <w:t xml:space="preserve"> from 2</w:t>
      </w:r>
      <w:r w:rsidR="00DD51D5" w:rsidRPr="00717233">
        <w:rPr>
          <w:rFonts w:ascii="Times New Roman" w:hAnsi="Times New Roman" w:cs="Times New Roman"/>
        </w:rPr>
        <w:t>nd</w:t>
      </w:r>
      <w:r w:rsidR="00DD51D5">
        <w:rPr>
          <w:rFonts w:ascii="Times New Roman" w:hAnsi="Times New Roman" w:cs="Times New Roman"/>
        </w:rPr>
        <w:t xml:space="preserve"> </w:t>
      </w:r>
      <w:r w:rsidR="00631A60">
        <w:rPr>
          <w:rFonts w:ascii="Times New Roman" w:hAnsi="Times New Roman" w:cs="Times New Roman"/>
        </w:rPr>
        <w:t>Q</w:t>
      </w:r>
      <w:r w:rsidR="00DD51D5">
        <w:rPr>
          <w:rFonts w:ascii="Times New Roman" w:hAnsi="Times New Roman" w:cs="Times New Roman"/>
        </w:rPr>
        <w:t>uarter 2016 to 1</w:t>
      </w:r>
      <w:r w:rsidR="00DD51D5" w:rsidRPr="00717233">
        <w:rPr>
          <w:rFonts w:ascii="Times New Roman" w:hAnsi="Times New Roman" w:cs="Times New Roman"/>
        </w:rPr>
        <w:t>st</w:t>
      </w:r>
      <w:r w:rsidR="00DD51D5">
        <w:rPr>
          <w:rFonts w:ascii="Times New Roman" w:hAnsi="Times New Roman" w:cs="Times New Roman"/>
        </w:rPr>
        <w:t xml:space="preserve"> </w:t>
      </w:r>
      <w:r w:rsidR="00631A60">
        <w:rPr>
          <w:rFonts w:ascii="Times New Roman" w:hAnsi="Times New Roman" w:cs="Times New Roman"/>
        </w:rPr>
        <w:t>Q</w:t>
      </w:r>
      <w:r w:rsidR="00077A44">
        <w:rPr>
          <w:rFonts w:ascii="Times New Roman" w:hAnsi="Times New Roman" w:cs="Times New Roman"/>
        </w:rPr>
        <w:t>uarter 2017.</w:t>
      </w:r>
    </w:p>
    <w:p w14:paraId="3760864C" w14:textId="7634C4E3" w:rsidR="00020319" w:rsidRDefault="00020319" w:rsidP="00AC6265">
      <w:pPr>
        <w:jc w:val="both"/>
        <w:rPr>
          <w:rFonts w:ascii="Times New Roman" w:hAnsi="Times New Roman" w:cs="Times New Roman"/>
        </w:rPr>
      </w:pPr>
      <w:r w:rsidRPr="00020319">
        <w:rPr>
          <w:rFonts w:ascii="Times New Roman" w:hAnsi="Times New Roman" w:cs="Times New Roman"/>
        </w:rPr>
        <w:t>The primary data for the outcome analysis is the quarterly UI earnings.  Each person has a set of characteristics X</w:t>
      </w:r>
      <w:r w:rsidR="00E83B5D">
        <w:rPr>
          <w:rFonts w:ascii="Times New Roman" w:hAnsi="Times New Roman" w:cs="Times New Roman"/>
          <w:vertAlign w:val="subscript"/>
        </w:rPr>
        <w:t>i</w:t>
      </w:r>
      <w:r w:rsidRPr="00020319">
        <w:rPr>
          <w:rFonts w:ascii="Times New Roman" w:hAnsi="Times New Roman" w:cs="Times New Roman"/>
        </w:rPr>
        <w:t xml:space="preserve"> that do not change from t to t+1.  Examples of such variables are race, sex, education on entering CCMEP, whether the person had prior involvement in the criminal justice system, and so forth.  At intake to CCMEP, each client answers an extensive set of questions about their circumstances that we can use to </w:t>
      </w:r>
      <w:r w:rsidR="00717233">
        <w:rPr>
          <w:rFonts w:ascii="Times New Roman" w:hAnsi="Times New Roman" w:cs="Times New Roman"/>
        </w:rPr>
        <w:t xml:space="preserve">adjust for differences between </w:t>
      </w:r>
      <w:r w:rsidRPr="00020319">
        <w:rPr>
          <w:rFonts w:ascii="Times New Roman" w:hAnsi="Times New Roman" w:cs="Times New Roman"/>
        </w:rPr>
        <w:t>controls and experimentals</w:t>
      </w:r>
      <w:r w:rsidR="00717233">
        <w:rPr>
          <w:rFonts w:ascii="Times New Roman" w:hAnsi="Times New Roman" w:cs="Times New Roman"/>
        </w:rPr>
        <w:t>, although the difference-in-difference method removes time</w:t>
      </w:r>
      <w:r w:rsidR="00FA7FE1">
        <w:rPr>
          <w:rFonts w:ascii="Times New Roman" w:hAnsi="Times New Roman" w:cs="Times New Roman"/>
        </w:rPr>
        <w:t>-</w:t>
      </w:r>
      <w:r w:rsidR="00717233">
        <w:rPr>
          <w:rFonts w:ascii="Times New Roman" w:hAnsi="Times New Roman" w:cs="Times New Roman"/>
        </w:rPr>
        <w:t>invariant characteristics</w:t>
      </w:r>
      <w:r w:rsidR="00FA7FE1">
        <w:rPr>
          <w:rFonts w:ascii="Times New Roman" w:hAnsi="Times New Roman" w:cs="Times New Roman"/>
        </w:rPr>
        <w:t xml:space="preserve"> j that only impact the level of Y.  We allow for the possibility that the time-invariant X variables affect the </w:t>
      </w:r>
      <w:r w:rsidR="00FA7FE1" w:rsidRPr="00FA7FE1">
        <w:rPr>
          <w:rFonts w:ascii="Times New Roman" w:hAnsi="Times New Roman" w:cs="Times New Roman"/>
          <w:i/>
        </w:rPr>
        <w:t>trend</w:t>
      </w:r>
      <w:r w:rsidR="00FA7FE1">
        <w:rPr>
          <w:rFonts w:ascii="Times New Roman" w:hAnsi="Times New Roman" w:cs="Times New Roman"/>
        </w:rPr>
        <w:t xml:space="preserve"> in Y by including as a regressor t</w:t>
      </w:r>
      <w:r w:rsidR="00FA7FE1" w:rsidRPr="00020319">
        <w:rPr>
          <w:rFonts w:ascii="Times New Roman" w:hAnsi="Times New Roman" w:cs="Times New Roman"/>
        </w:rPr>
        <w:t>X</w:t>
      </w:r>
      <w:r w:rsidR="00FA7FE1" w:rsidRPr="00020319">
        <w:rPr>
          <w:rFonts w:ascii="Times New Roman" w:hAnsi="Times New Roman" w:cs="Times New Roman"/>
          <w:vertAlign w:val="subscript"/>
        </w:rPr>
        <w:t>i</w:t>
      </w:r>
      <w:r w:rsidR="00FA7FE1" w:rsidRPr="00020319">
        <w:rPr>
          <w:rFonts w:ascii="Symbol" w:hAnsi="Symbol" w:cs="Times New Roman"/>
        </w:rPr>
        <w:t></w:t>
      </w:r>
      <w:r w:rsidR="00FA7FE1">
        <w:rPr>
          <w:rFonts w:ascii="Symbol" w:hAnsi="Symbol" w:cs="Times New Roman"/>
          <w:vertAlign w:val="subscript"/>
        </w:rPr>
        <w:t></w:t>
      </w:r>
      <w:r w:rsidR="00FA7FE1">
        <w:rPr>
          <w:rFonts w:ascii="Symbol" w:hAnsi="Symbol" w:cs="Times New Roman"/>
          <w:vertAlign w:val="subscript"/>
        </w:rPr>
        <w:t></w:t>
      </w:r>
      <w:r w:rsidR="00FA7FE1">
        <w:rPr>
          <w:rFonts w:ascii="Times New Roman" w:hAnsi="Times New Roman" w:cs="Times New Roman"/>
        </w:rPr>
        <w:t>so that X can change the rate at which Y changes over time.</w:t>
      </w:r>
      <w:r w:rsidRPr="00020319">
        <w:rPr>
          <w:rFonts w:ascii="Times New Roman" w:hAnsi="Times New Roman" w:cs="Times New Roman"/>
        </w:rPr>
        <w:t xml:space="preserve">  </w:t>
      </w:r>
      <w:r w:rsidR="00FA7FE1">
        <w:rPr>
          <w:rFonts w:ascii="Times New Roman" w:hAnsi="Times New Roman" w:cs="Times New Roman"/>
        </w:rPr>
        <w:t xml:space="preserve">The WP program focuses on earnings growth, and we want robustness to the possibility that the characteristics of youths affect not only the </w:t>
      </w:r>
      <w:r w:rsidR="00FA7FE1" w:rsidRPr="00CA3E0A">
        <w:rPr>
          <w:rFonts w:ascii="Times New Roman" w:hAnsi="Times New Roman" w:cs="Times New Roman"/>
          <w:i/>
        </w:rPr>
        <w:t>level</w:t>
      </w:r>
      <w:r w:rsidR="00FA7FE1">
        <w:rPr>
          <w:rFonts w:ascii="Times New Roman" w:hAnsi="Times New Roman" w:cs="Times New Roman"/>
        </w:rPr>
        <w:t xml:space="preserve"> of their earnings, but also the rate at which those earnings grow.  </w:t>
      </w:r>
      <w:r w:rsidRPr="00020319">
        <w:rPr>
          <w:rFonts w:ascii="Times New Roman" w:hAnsi="Times New Roman" w:cs="Times New Roman"/>
        </w:rPr>
        <w:t>In addition, each person has a set of characteristics Z</w:t>
      </w:r>
      <w:r w:rsidRPr="00717233">
        <w:rPr>
          <w:rFonts w:ascii="Times New Roman" w:hAnsi="Times New Roman" w:cs="Times New Roman"/>
          <w:vertAlign w:val="subscript"/>
        </w:rPr>
        <w:t>i,t</w:t>
      </w:r>
      <w:r w:rsidRPr="00020319">
        <w:rPr>
          <w:rFonts w:ascii="Times New Roman" w:hAnsi="Times New Roman" w:cs="Times New Roman"/>
        </w:rPr>
        <w:t xml:space="preserve"> that may change over time.  The Xs and Zs may be characteristics of the person or the person’s location. </w:t>
      </w:r>
      <w:r w:rsidR="007B54A5">
        <w:rPr>
          <w:rFonts w:ascii="Times New Roman" w:hAnsi="Times New Roman" w:cs="Times New Roman"/>
        </w:rPr>
        <w:t xml:space="preserve"> </w:t>
      </w:r>
    </w:p>
    <w:p w14:paraId="0D0CD233" w14:textId="77777777" w:rsidR="007B54A5" w:rsidRPr="00020319" w:rsidRDefault="007B54A5" w:rsidP="00AC6265">
      <w:pPr>
        <w:jc w:val="both"/>
        <w:rPr>
          <w:rFonts w:ascii="Times New Roman" w:hAnsi="Times New Roman" w:cs="Times New Roman"/>
        </w:rPr>
      </w:pPr>
      <w:r>
        <w:rPr>
          <w:rFonts w:ascii="Times New Roman" w:hAnsi="Times New Roman" w:cs="Times New Roman"/>
        </w:rPr>
        <w:t>Equation 1) expresses pre-onset earnings (or another outcome) as a function of time-invariant and time-varying regressors.  Equation 2) is our post-onset regression.</w:t>
      </w:r>
    </w:p>
    <w:p w14:paraId="3FE8B808" w14:textId="00013EDF" w:rsidR="00020319" w:rsidRPr="00020319" w:rsidRDefault="00874196" w:rsidP="00020319">
      <w:pPr>
        <w:pStyle w:val="ListParagraph"/>
        <w:spacing w:line="240" w:lineRule="auto"/>
        <w:ind w:left="0" w:firstLine="720"/>
        <w:rPr>
          <w:rFonts w:ascii="Times New Roman" w:hAnsi="Times New Roman" w:cs="Times New Roman"/>
        </w:rPr>
      </w:pPr>
      <w:r>
        <w:rPr>
          <w:rFonts w:ascii="Times New Roman" w:hAnsi="Times New Roman" w:cs="Times New Roman"/>
        </w:rPr>
        <w:t xml:space="preserve"> </w:t>
      </w:r>
      <w:r w:rsidR="00020319" w:rsidRPr="00020319">
        <w:rPr>
          <w:rFonts w:ascii="Times New Roman" w:hAnsi="Times New Roman" w:cs="Times New Roman"/>
        </w:rPr>
        <w:t>Y</w:t>
      </w:r>
      <w:r w:rsidR="00020319" w:rsidRPr="00020319">
        <w:rPr>
          <w:rFonts w:ascii="Times New Roman" w:hAnsi="Times New Roman" w:cs="Times New Roman"/>
          <w:vertAlign w:val="subscript"/>
        </w:rPr>
        <w:t>i,t</w:t>
      </w:r>
      <w:r w:rsidR="00020319" w:rsidRPr="00020319">
        <w:rPr>
          <w:rFonts w:ascii="Times New Roman" w:hAnsi="Times New Roman" w:cs="Times New Roman"/>
        </w:rPr>
        <w:t xml:space="preserve"> = X</w:t>
      </w:r>
      <w:r w:rsidR="00020319" w:rsidRPr="00020319">
        <w:rPr>
          <w:rFonts w:ascii="Times New Roman" w:hAnsi="Times New Roman" w:cs="Times New Roman"/>
          <w:vertAlign w:val="subscript"/>
        </w:rPr>
        <w:t>i</w:t>
      </w:r>
      <w:r w:rsidR="00020319" w:rsidRPr="00020319">
        <w:rPr>
          <w:rFonts w:ascii="Symbol" w:hAnsi="Symbol" w:cs="Times New Roman"/>
        </w:rPr>
        <w:t></w:t>
      </w:r>
      <w:r w:rsidR="00CA3E0A">
        <w:rPr>
          <w:rFonts w:ascii="Symbol" w:hAnsi="Symbol" w:cs="Times New Roman"/>
          <w:vertAlign w:val="subscript"/>
        </w:rPr>
        <w:t></w:t>
      </w:r>
      <w:r w:rsidR="00020319" w:rsidRPr="00020319">
        <w:rPr>
          <w:rFonts w:ascii="Symbol" w:hAnsi="Symbol" w:cs="Times New Roman"/>
        </w:rPr>
        <w:t></w:t>
      </w:r>
      <w:r w:rsidR="00020319" w:rsidRPr="00020319">
        <w:rPr>
          <w:rFonts w:ascii="Times New Roman" w:hAnsi="Times New Roman" w:cs="Times New Roman"/>
        </w:rPr>
        <w:t xml:space="preserve">+ </w:t>
      </w:r>
      <w:r w:rsidR="00CA3E0A">
        <w:rPr>
          <w:rFonts w:ascii="Times New Roman" w:hAnsi="Times New Roman" w:cs="Times New Roman"/>
        </w:rPr>
        <w:t>t</w:t>
      </w:r>
      <w:r w:rsidR="00CA3E0A" w:rsidRPr="00020319">
        <w:rPr>
          <w:rFonts w:ascii="Times New Roman" w:hAnsi="Times New Roman" w:cs="Times New Roman"/>
        </w:rPr>
        <w:t>X</w:t>
      </w:r>
      <w:r w:rsidR="00CA3E0A" w:rsidRPr="00020319">
        <w:rPr>
          <w:rFonts w:ascii="Times New Roman" w:hAnsi="Times New Roman" w:cs="Times New Roman"/>
          <w:vertAlign w:val="subscript"/>
        </w:rPr>
        <w:t>i</w:t>
      </w:r>
      <w:r w:rsidR="00CA3E0A" w:rsidRPr="00020319">
        <w:rPr>
          <w:rFonts w:ascii="Symbol" w:hAnsi="Symbol" w:cs="Times New Roman"/>
        </w:rPr>
        <w:t></w:t>
      </w:r>
      <w:r w:rsidR="00CA3E0A">
        <w:rPr>
          <w:rFonts w:ascii="Symbol" w:hAnsi="Symbol" w:cs="Times New Roman"/>
          <w:vertAlign w:val="subscript"/>
        </w:rPr>
        <w:t></w:t>
      </w:r>
      <w:r w:rsidR="00CA3E0A" w:rsidRPr="00020319">
        <w:rPr>
          <w:rFonts w:ascii="Symbol" w:hAnsi="Symbol" w:cs="Times New Roman"/>
        </w:rPr>
        <w:t></w:t>
      </w:r>
      <w:r w:rsidR="00CA3E0A" w:rsidRPr="00020319">
        <w:rPr>
          <w:rFonts w:ascii="Times New Roman" w:hAnsi="Times New Roman" w:cs="Times New Roman"/>
        </w:rPr>
        <w:t>+</w:t>
      </w:r>
      <w:r w:rsidR="00CA3E0A">
        <w:rPr>
          <w:rFonts w:ascii="Times New Roman" w:hAnsi="Times New Roman" w:cs="Times New Roman"/>
        </w:rPr>
        <w:t xml:space="preserve"> </w:t>
      </w:r>
      <w:r w:rsidR="00020319" w:rsidRPr="00020319">
        <w:rPr>
          <w:rFonts w:ascii="Times New Roman" w:hAnsi="Times New Roman" w:cs="Times New Roman"/>
        </w:rPr>
        <w:t>Z</w:t>
      </w:r>
      <w:r w:rsidR="00020319" w:rsidRPr="00020319">
        <w:rPr>
          <w:rFonts w:ascii="Times New Roman" w:hAnsi="Times New Roman" w:cs="Times New Roman"/>
          <w:vertAlign w:val="subscript"/>
        </w:rPr>
        <w:t>i,t</w:t>
      </w:r>
      <w:r w:rsidR="00020319" w:rsidRPr="00020319">
        <w:rPr>
          <w:rFonts w:ascii="Symbol" w:hAnsi="Symbol" w:cs="Times New Roman"/>
        </w:rPr>
        <w:t></w:t>
      </w:r>
      <w:r w:rsidR="00020319" w:rsidRPr="00020319">
        <w:rPr>
          <w:rFonts w:ascii="Times New Roman" w:hAnsi="Times New Roman" w:cs="Times New Roman"/>
          <w:vertAlign w:val="subscript"/>
        </w:rPr>
        <w:t>1</w:t>
      </w:r>
      <w:r w:rsidR="00020319" w:rsidRPr="00020319">
        <w:rPr>
          <w:rFonts w:ascii="Times New Roman" w:hAnsi="Times New Roman" w:cs="Times New Roman"/>
        </w:rPr>
        <w:t xml:space="preserve"> + </w:t>
      </w:r>
      <w:r w:rsidR="00020319" w:rsidRPr="00020319">
        <w:rPr>
          <w:rFonts w:ascii="Symbol" w:hAnsi="Symbol" w:cs="Times New Roman"/>
        </w:rPr>
        <w:t></w:t>
      </w:r>
      <w:r w:rsidR="00020319" w:rsidRPr="00020319">
        <w:rPr>
          <w:rFonts w:ascii="Symbol" w:hAnsi="Symbol" w:cs="Times New Roman"/>
          <w:vertAlign w:val="subscript"/>
        </w:rPr>
        <w:t></w:t>
      </w:r>
      <w:r w:rsidR="00020319" w:rsidRPr="00020319">
        <w:rPr>
          <w:rFonts w:ascii="Symbol" w:hAnsi="Symbol" w:cs="Times New Roman"/>
        </w:rPr>
        <w:t></w:t>
      </w:r>
      <w:r w:rsidR="00020319" w:rsidRPr="00020319">
        <w:rPr>
          <w:rFonts w:ascii="Times New Roman" w:hAnsi="Times New Roman" w:cs="Times New Roman"/>
          <w:vertAlign w:val="subscript"/>
        </w:rPr>
        <w:t>i</w:t>
      </w:r>
      <w:r w:rsidR="00020319" w:rsidRPr="00020319">
        <w:rPr>
          <w:rFonts w:ascii="Symbol" w:hAnsi="Symbol" w:cs="Times New Roman"/>
          <w:vertAlign w:val="subscript"/>
        </w:rPr>
        <w:t></w:t>
      </w:r>
      <w:r w:rsidR="00020319" w:rsidRPr="00020319">
        <w:rPr>
          <w:rFonts w:ascii="Times New Roman" w:hAnsi="Times New Roman" w:cs="Times New Roman"/>
          <w:vertAlign w:val="subscript"/>
        </w:rPr>
        <w:t>t</w:t>
      </w:r>
      <w:r w:rsidR="00020319" w:rsidRPr="00020319">
        <w:rPr>
          <w:rFonts w:ascii="Symbol" w:hAnsi="Symbol" w:cs="Times New Roman"/>
          <w:vertAlign w:val="subscript"/>
        </w:rPr>
        <w:t></w:t>
      </w:r>
      <w:r w:rsidR="00020319" w:rsidRPr="00020319">
        <w:rPr>
          <w:rFonts w:ascii="Symbol" w:hAnsi="Symbol" w:cs="Times New Roman"/>
        </w:rPr>
        <w:t></w:t>
      </w:r>
      <w:r w:rsidR="00020319" w:rsidRPr="00020319">
        <w:rPr>
          <w:rFonts w:ascii="Symbol" w:hAnsi="Symbol" w:cs="Times New Roman"/>
        </w:rPr>
        <w:t></w:t>
      </w:r>
      <w:r w:rsidR="00020319" w:rsidRPr="00020319">
        <w:rPr>
          <w:rFonts w:ascii="Times New Roman" w:hAnsi="Times New Roman" w:cs="Times New Roman"/>
        </w:rPr>
        <w:t>X</w:t>
      </w:r>
      <w:r w:rsidR="00020319" w:rsidRPr="00020319">
        <w:rPr>
          <w:rFonts w:ascii="Times New Roman" w:hAnsi="Times New Roman" w:cs="Times New Roman"/>
          <w:vertAlign w:val="subscript"/>
        </w:rPr>
        <w:t>i</w:t>
      </w:r>
      <w:r w:rsidR="00020319" w:rsidRPr="00020319">
        <w:rPr>
          <w:rFonts w:ascii="Symbol" w:hAnsi="Symbol" w:cs="Times New Roman"/>
        </w:rPr>
        <w:t></w:t>
      </w:r>
      <w:r w:rsidR="00020319" w:rsidRPr="00020319">
        <w:rPr>
          <w:rFonts w:ascii="Times New Roman" w:hAnsi="Times New Roman" w:cs="Times New Roman"/>
          <w:vertAlign w:val="subscript"/>
        </w:rPr>
        <w:t>1</w:t>
      </w:r>
      <w:r w:rsidR="00020319" w:rsidRPr="00020319">
        <w:rPr>
          <w:rFonts w:ascii="Symbol" w:hAnsi="Symbol" w:cs="Times New Roman"/>
        </w:rPr>
        <w:t></w:t>
      </w:r>
      <w:r w:rsidR="00020319" w:rsidRPr="00020319">
        <w:rPr>
          <w:rFonts w:ascii="Times New Roman" w:hAnsi="Times New Roman" w:cs="Times New Roman"/>
          <w:vertAlign w:val="subscript"/>
        </w:rPr>
        <w:t>i</w:t>
      </w:r>
      <w:r w:rsidR="00020319" w:rsidRPr="00020319">
        <w:rPr>
          <w:rFonts w:ascii="Symbol" w:hAnsi="Symbol" w:cs="Times New Roman"/>
          <w:vertAlign w:val="subscript"/>
        </w:rPr>
        <w:t></w:t>
      </w:r>
      <w:r w:rsidR="00020319" w:rsidRPr="00020319">
        <w:rPr>
          <w:rFonts w:ascii="Times New Roman" w:hAnsi="Times New Roman" w:cs="Times New Roman"/>
          <w:vertAlign w:val="subscript"/>
        </w:rPr>
        <w:t>t</w:t>
      </w:r>
      <w:r w:rsidR="00020319" w:rsidRPr="00020319">
        <w:rPr>
          <w:rFonts w:ascii="Symbol" w:hAnsi="Symbol" w:cs="Times New Roman"/>
        </w:rPr>
        <w:t></w:t>
      </w:r>
      <w:r w:rsidR="00020319" w:rsidRPr="00020319">
        <w:rPr>
          <w:rFonts w:ascii="Times New Roman" w:hAnsi="Times New Roman" w:cs="Times New Roman"/>
        </w:rPr>
        <w:t>+ Z</w:t>
      </w:r>
      <w:r w:rsidR="00020319" w:rsidRPr="00020319">
        <w:rPr>
          <w:rFonts w:ascii="Times New Roman" w:hAnsi="Times New Roman" w:cs="Times New Roman"/>
          <w:vertAlign w:val="subscript"/>
        </w:rPr>
        <w:t>i,t</w:t>
      </w:r>
      <w:r w:rsidR="00020319" w:rsidRPr="00020319">
        <w:rPr>
          <w:rFonts w:ascii="Symbol" w:hAnsi="Symbol" w:cs="Times New Roman"/>
        </w:rPr>
        <w:t></w:t>
      </w:r>
      <w:r w:rsidR="00020319" w:rsidRPr="00020319">
        <w:rPr>
          <w:rFonts w:ascii="Times New Roman" w:hAnsi="Times New Roman" w:cs="Times New Roman"/>
          <w:vertAlign w:val="subscript"/>
        </w:rPr>
        <w:t>2</w:t>
      </w:r>
      <w:r w:rsidR="00020319" w:rsidRPr="00020319">
        <w:rPr>
          <w:rFonts w:ascii="Symbol" w:hAnsi="Symbol" w:cs="Times New Roman"/>
        </w:rPr>
        <w:t></w:t>
      </w:r>
      <w:r w:rsidR="00020319" w:rsidRPr="00020319">
        <w:rPr>
          <w:rFonts w:ascii="Times New Roman" w:hAnsi="Times New Roman" w:cs="Times New Roman"/>
          <w:vertAlign w:val="subscript"/>
        </w:rPr>
        <w:t>i</w:t>
      </w:r>
      <w:r w:rsidR="00020319" w:rsidRPr="00020319">
        <w:rPr>
          <w:rFonts w:ascii="Symbol" w:hAnsi="Symbol" w:cs="Times New Roman"/>
          <w:vertAlign w:val="subscript"/>
        </w:rPr>
        <w:t></w:t>
      </w:r>
      <w:r w:rsidR="00020319" w:rsidRPr="00020319">
        <w:rPr>
          <w:rFonts w:ascii="Times New Roman" w:hAnsi="Times New Roman" w:cs="Times New Roman"/>
          <w:vertAlign w:val="subscript"/>
        </w:rPr>
        <w:t>t</w:t>
      </w:r>
      <w:r w:rsidR="00020319" w:rsidRPr="00020319">
        <w:rPr>
          <w:rFonts w:ascii="Times New Roman" w:hAnsi="Times New Roman" w:cs="Times New Roman"/>
        </w:rPr>
        <w:t xml:space="preserve"> + u</w:t>
      </w:r>
      <w:r w:rsidR="00020319" w:rsidRPr="00020319">
        <w:rPr>
          <w:rFonts w:ascii="Times New Roman" w:hAnsi="Times New Roman" w:cs="Times New Roman"/>
          <w:vertAlign w:val="subscript"/>
        </w:rPr>
        <w:t>i,t</w:t>
      </w:r>
      <w:r w:rsidR="00077A44">
        <w:rPr>
          <w:rFonts w:ascii="Times New Roman" w:hAnsi="Times New Roman" w:cs="Times New Roman"/>
        </w:rPr>
        <w:tab/>
      </w:r>
      <w:r w:rsidR="007B54A5">
        <w:rPr>
          <w:rFonts w:ascii="Times New Roman" w:hAnsi="Times New Roman" w:cs="Times New Roman"/>
        </w:rPr>
        <w:t>1)</w:t>
      </w:r>
    </w:p>
    <w:p w14:paraId="5DE8EC03" w14:textId="77777777" w:rsidR="00020319" w:rsidRPr="00020319" w:rsidRDefault="00020319" w:rsidP="00020319">
      <w:pPr>
        <w:pStyle w:val="ListParagraph"/>
        <w:spacing w:line="240" w:lineRule="auto"/>
        <w:ind w:left="0"/>
        <w:rPr>
          <w:rFonts w:ascii="Times New Roman" w:hAnsi="Times New Roman" w:cs="Times New Roman"/>
        </w:rPr>
      </w:pPr>
    </w:p>
    <w:p w14:paraId="4BB31883" w14:textId="491B8284" w:rsidR="00020319" w:rsidRPr="00020319" w:rsidRDefault="00020319" w:rsidP="00020319">
      <w:pPr>
        <w:pStyle w:val="ListParagraph"/>
        <w:spacing w:line="240" w:lineRule="auto"/>
        <w:ind w:left="0" w:firstLine="720"/>
        <w:rPr>
          <w:rFonts w:ascii="Times New Roman" w:hAnsi="Times New Roman" w:cs="Times New Roman"/>
        </w:rPr>
      </w:pPr>
      <w:r w:rsidRPr="00020319">
        <w:rPr>
          <w:rFonts w:ascii="Times New Roman" w:hAnsi="Times New Roman" w:cs="Times New Roman"/>
        </w:rPr>
        <w:t>Y</w:t>
      </w:r>
      <w:r w:rsidRPr="00020319">
        <w:rPr>
          <w:rFonts w:ascii="Times New Roman" w:hAnsi="Times New Roman" w:cs="Times New Roman"/>
          <w:vertAlign w:val="subscript"/>
        </w:rPr>
        <w:t>i,t+1</w:t>
      </w:r>
      <w:r w:rsidRPr="00020319">
        <w:rPr>
          <w:rFonts w:ascii="Times New Roman" w:hAnsi="Times New Roman" w:cs="Times New Roman"/>
        </w:rPr>
        <w:t xml:space="preserve"> = </w:t>
      </w:r>
      <w:r w:rsidR="00CA3E0A" w:rsidRPr="00020319">
        <w:rPr>
          <w:rFonts w:ascii="Times New Roman" w:hAnsi="Times New Roman" w:cs="Times New Roman"/>
        </w:rPr>
        <w:t>X</w:t>
      </w:r>
      <w:r w:rsidR="00CA3E0A" w:rsidRPr="00020319">
        <w:rPr>
          <w:rFonts w:ascii="Times New Roman" w:hAnsi="Times New Roman" w:cs="Times New Roman"/>
          <w:vertAlign w:val="subscript"/>
        </w:rPr>
        <w:t>i</w:t>
      </w:r>
      <w:r w:rsidR="00CA3E0A" w:rsidRPr="00020319">
        <w:rPr>
          <w:rFonts w:ascii="Symbol" w:hAnsi="Symbol" w:cs="Times New Roman"/>
        </w:rPr>
        <w:t></w:t>
      </w:r>
      <w:r w:rsidR="00CA3E0A">
        <w:rPr>
          <w:rFonts w:ascii="Symbol" w:hAnsi="Symbol" w:cs="Times New Roman"/>
          <w:vertAlign w:val="subscript"/>
        </w:rPr>
        <w:t></w:t>
      </w:r>
      <w:r w:rsidR="00CA3E0A" w:rsidRPr="00020319">
        <w:rPr>
          <w:rFonts w:ascii="Symbol" w:hAnsi="Symbol" w:cs="Times New Roman"/>
        </w:rPr>
        <w:t></w:t>
      </w:r>
      <w:r w:rsidR="00CA3E0A" w:rsidRPr="00020319">
        <w:rPr>
          <w:rFonts w:ascii="Times New Roman" w:hAnsi="Times New Roman" w:cs="Times New Roman"/>
        </w:rPr>
        <w:t xml:space="preserve">+ </w:t>
      </w:r>
      <w:r w:rsidR="00CA3E0A">
        <w:rPr>
          <w:rFonts w:ascii="Times New Roman" w:hAnsi="Times New Roman" w:cs="Times New Roman"/>
        </w:rPr>
        <w:t>(t+1)</w:t>
      </w:r>
      <w:r w:rsidR="00CA3E0A" w:rsidRPr="00020319">
        <w:rPr>
          <w:rFonts w:ascii="Times New Roman" w:hAnsi="Times New Roman" w:cs="Times New Roman"/>
        </w:rPr>
        <w:t>X</w:t>
      </w:r>
      <w:r w:rsidR="00CA3E0A" w:rsidRPr="00020319">
        <w:rPr>
          <w:rFonts w:ascii="Times New Roman" w:hAnsi="Times New Roman" w:cs="Times New Roman"/>
          <w:vertAlign w:val="subscript"/>
        </w:rPr>
        <w:t>i</w:t>
      </w:r>
      <w:r w:rsidR="00CA3E0A" w:rsidRPr="00020319">
        <w:rPr>
          <w:rFonts w:ascii="Symbol" w:hAnsi="Symbol" w:cs="Times New Roman"/>
        </w:rPr>
        <w:t></w:t>
      </w:r>
      <w:r w:rsidR="00CA3E0A">
        <w:rPr>
          <w:rFonts w:ascii="Symbol" w:hAnsi="Symbol" w:cs="Times New Roman"/>
          <w:vertAlign w:val="subscript"/>
        </w:rPr>
        <w:t></w:t>
      </w:r>
      <w:r w:rsidR="00CA3E0A" w:rsidRPr="00020319">
        <w:rPr>
          <w:rFonts w:ascii="Symbol" w:hAnsi="Symbol" w:cs="Times New Roman"/>
        </w:rPr>
        <w:t></w:t>
      </w:r>
      <w:r w:rsidRPr="00020319">
        <w:rPr>
          <w:rFonts w:ascii="Times New Roman" w:hAnsi="Times New Roman" w:cs="Times New Roman"/>
        </w:rPr>
        <w:t>+ Z</w:t>
      </w:r>
      <w:r w:rsidRPr="00020319">
        <w:rPr>
          <w:rFonts w:ascii="Times New Roman" w:hAnsi="Times New Roman" w:cs="Times New Roman"/>
          <w:vertAlign w:val="subscript"/>
        </w:rPr>
        <w:t>i,t+1</w:t>
      </w:r>
      <w:r w:rsidRPr="00020319">
        <w:rPr>
          <w:rFonts w:ascii="Symbol" w:hAnsi="Symbol" w:cs="Times New Roman"/>
        </w:rPr>
        <w:t></w:t>
      </w:r>
      <w:r w:rsidRPr="00020319">
        <w:rPr>
          <w:rFonts w:ascii="Times New Roman" w:hAnsi="Times New Roman" w:cs="Times New Roman"/>
          <w:vertAlign w:val="subscript"/>
        </w:rPr>
        <w:t>1</w:t>
      </w:r>
      <w:r w:rsidRPr="00020319">
        <w:rPr>
          <w:rFonts w:ascii="Times New Roman" w:hAnsi="Times New Roman" w:cs="Times New Roman"/>
        </w:rPr>
        <w:t xml:space="preserve"> + </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rPr>
        <w:t></w:t>
      </w:r>
      <w:r w:rsidRPr="00020319">
        <w:rPr>
          <w:rFonts w:ascii="Times New Roman" w:hAnsi="Times New Roman" w:cs="Times New Roman"/>
          <w:vertAlign w:val="subscript"/>
        </w:rPr>
        <w:t>i</w:t>
      </w:r>
      <w:r w:rsidRPr="00020319">
        <w:rPr>
          <w:rFonts w:ascii="Symbol" w:hAnsi="Symbol" w:cs="Times New Roman"/>
          <w:vertAlign w:val="subscript"/>
        </w:rPr>
        <w:t></w:t>
      </w:r>
      <w:r w:rsidRPr="00020319">
        <w:rPr>
          <w:rFonts w:ascii="Times New Roman" w:hAnsi="Times New Roman" w:cs="Times New Roman"/>
          <w:vertAlign w:val="subscript"/>
        </w:rPr>
        <w:t>t+1</w:t>
      </w:r>
      <w:r w:rsidRPr="00020319">
        <w:rPr>
          <w:rFonts w:ascii="Symbol" w:hAnsi="Symbol" w:cs="Times New Roman"/>
          <w:vertAlign w:val="subscript"/>
        </w:rPr>
        <w:t></w:t>
      </w:r>
      <w:r w:rsidRPr="00020319">
        <w:rPr>
          <w:rFonts w:ascii="Symbol" w:hAnsi="Symbol" w:cs="Times New Roman"/>
        </w:rPr>
        <w:t></w:t>
      </w:r>
      <w:r w:rsidRPr="00020319">
        <w:rPr>
          <w:rFonts w:ascii="Symbol" w:hAnsi="Symbol" w:cs="Times New Roman"/>
        </w:rPr>
        <w:t></w:t>
      </w:r>
      <w:r w:rsidRPr="00020319">
        <w:rPr>
          <w:rFonts w:ascii="Times New Roman" w:hAnsi="Times New Roman" w:cs="Times New Roman"/>
        </w:rPr>
        <w:t>X</w:t>
      </w:r>
      <w:r w:rsidRPr="00020319">
        <w:rPr>
          <w:rFonts w:ascii="Times New Roman" w:hAnsi="Times New Roman" w:cs="Times New Roman"/>
          <w:vertAlign w:val="subscript"/>
        </w:rPr>
        <w:t>i</w:t>
      </w:r>
      <w:r w:rsidRPr="00020319">
        <w:rPr>
          <w:rFonts w:ascii="Symbol" w:hAnsi="Symbol" w:cs="Times New Roman"/>
        </w:rPr>
        <w:t></w:t>
      </w:r>
      <w:r w:rsidRPr="00020319">
        <w:rPr>
          <w:rFonts w:ascii="Times New Roman" w:hAnsi="Times New Roman" w:cs="Times New Roman"/>
          <w:vertAlign w:val="subscript"/>
        </w:rPr>
        <w:t>1</w:t>
      </w:r>
      <w:r w:rsidRPr="00020319">
        <w:rPr>
          <w:rFonts w:ascii="Symbol" w:hAnsi="Symbol" w:cs="Times New Roman"/>
        </w:rPr>
        <w:t></w:t>
      </w:r>
      <w:r w:rsidRPr="00020319">
        <w:rPr>
          <w:rFonts w:ascii="Times New Roman" w:hAnsi="Times New Roman" w:cs="Times New Roman"/>
          <w:vertAlign w:val="subscript"/>
        </w:rPr>
        <w:t>i</w:t>
      </w:r>
      <w:r w:rsidRPr="00020319">
        <w:rPr>
          <w:rFonts w:ascii="Symbol" w:hAnsi="Symbol" w:cs="Times New Roman"/>
          <w:vertAlign w:val="subscript"/>
        </w:rPr>
        <w:t></w:t>
      </w:r>
      <w:r w:rsidRPr="00020319">
        <w:rPr>
          <w:rFonts w:ascii="Times New Roman" w:hAnsi="Times New Roman" w:cs="Times New Roman"/>
          <w:vertAlign w:val="subscript"/>
        </w:rPr>
        <w:t>t+1</w:t>
      </w:r>
      <w:r w:rsidRPr="00020319">
        <w:rPr>
          <w:rFonts w:ascii="Symbol" w:hAnsi="Symbol" w:cs="Times New Roman"/>
        </w:rPr>
        <w:t></w:t>
      </w:r>
      <w:r w:rsidRPr="00020319">
        <w:rPr>
          <w:rFonts w:ascii="Times New Roman" w:hAnsi="Times New Roman" w:cs="Times New Roman"/>
        </w:rPr>
        <w:t>+ Z</w:t>
      </w:r>
      <w:r w:rsidRPr="00020319">
        <w:rPr>
          <w:rFonts w:ascii="Times New Roman" w:hAnsi="Times New Roman" w:cs="Times New Roman"/>
          <w:vertAlign w:val="subscript"/>
        </w:rPr>
        <w:t>i,t+1</w:t>
      </w:r>
      <w:r w:rsidRPr="00020319">
        <w:rPr>
          <w:rFonts w:ascii="Symbol" w:hAnsi="Symbol" w:cs="Times New Roman"/>
        </w:rPr>
        <w:t></w:t>
      </w:r>
      <w:r w:rsidRPr="00020319">
        <w:rPr>
          <w:rFonts w:ascii="Times New Roman" w:hAnsi="Times New Roman" w:cs="Times New Roman"/>
          <w:vertAlign w:val="subscript"/>
        </w:rPr>
        <w:t>2</w:t>
      </w:r>
      <w:r w:rsidRPr="00020319">
        <w:rPr>
          <w:rFonts w:ascii="Symbol" w:hAnsi="Symbol" w:cs="Times New Roman"/>
        </w:rPr>
        <w:t></w:t>
      </w:r>
      <w:r w:rsidRPr="00020319">
        <w:rPr>
          <w:rFonts w:ascii="Times New Roman" w:hAnsi="Times New Roman" w:cs="Times New Roman"/>
          <w:vertAlign w:val="subscript"/>
        </w:rPr>
        <w:t>i</w:t>
      </w:r>
      <w:r w:rsidRPr="00020319">
        <w:rPr>
          <w:rFonts w:ascii="Symbol" w:hAnsi="Symbol" w:cs="Times New Roman"/>
          <w:vertAlign w:val="subscript"/>
        </w:rPr>
        <w:t></w:t>
      </w:r>
      <w:r w:rsidRPr="00020319">
        <w:rPr>
          <w:rFonts w:ascii="Times New Roman" w:hAnsi="Times New Roman" w:cs="Times New Roman"/>
          <w:vertAlign w:val="subscript"/>
        </w:rPr>
        <w:t>t+1</w:t>
      </w:r>
      <w:r w:rsidRPr="00020319">
        <w:rPr>
          <w:rFonts w:ascii="Times New Roman" w:hAnsi="Times New Roman" w:cs="Times New Roman"/>
        </w:rPr>
        <w:t xml:space="preserve"> + u</w:t>
      </w:r>
      <w:r w:rsidRPr="00020319">
        <w:rPr>
          <w:rFonts w:ascii="Times New Roman" w:hAnsi="Times New Roman" w:cs="Times New Roman"/>
          <w:vertAlign w:val="subscript"/>
        </w:rPr>
        <w:t>i,t+1</w:t>
      </w:r>
      <w:r w:rsidRPr="00020319">
        <w:rPr>
          <w:rFonts w:ascii="Times New Roman" w:hAnsi="Times New Roman" w:cs="Times New Roman"/>
        </w:rPr>
        <w:tab/>
      </w:r>
      <w:r w:rsidR="007B54A5">
        <w:rPr>
          <w:rFonts w:ascii="Times New Roman" w:hAnsi="Times New Roman" w:cs="Times New Roman"/>
        </w:rPr>
        <w:t>2)</w:t>
      </w:r>
    </w:p>
    <w:p w14:paraId="30C0493C" w14:textId="77777777" w:rsidR="00020319" w:rsidRPr="00020319" w:rsidRDefault="00020319" w:rsidP="00020319">
      <w:pPr>
        <w:pStyle w:val="ListParagraph"/>
        <w:spacing w:line="240" w:lineRule="auto"/>
        <w:ind w:left="0"/>
        <w:rPr>
          <w:rFonts w:ascii="Times New Roman" w:hAnsi="Times New Roman" w:cs="Times New Roman"/>
        </w:rPr>
      </w:pPr>
    </w:p>
    <w:p w14:paraId="5BC64EFF" w14:textId="1003FCBA" w:rsidR="00020319" w:rsidRPr="00874196" w:rsidRDefault="00020319" w:rsidP="00AC6265">
      <w:pPr>
        <w:pStyle w:val="ListParagraph"/>
        <w:spacing w:line="240" w:lineRule="auto"/>
        <w:ind w:left="0"/>
        <w:jc w:val="both"/>
        <w:rPr>
          <w:rFonts w:ascii="Times New Roman" w:hAnsi="Times New Roman" w:cs="Times New Roman"/>
        </w:rPr>
      </w:pPr>
      <w:r w:rsidRPr="00020319">
        <w:rPr>
          <w:rFonts w:ascii="Times New Roman" w:hAnsi="Times New Roman" w:cs="Times New Roman"/>
        </w:rPr>
        <w:t xml:space="preserve">We use </w:t>
      </w:r>
      <w:r w:rsidRPr="00020319">
        <w:rPr>
          <w:rFonts w:ascii="Symbol" w:hAnsi="Symbol" w:cs="Times New Roman"/>
        </w:rPr>
        <w:t></w:t>
      </w:r>
      <w:r w:rsidR="007B54A5">
        <w:rPr>
          <w:rFonts w:ascii="Symbol" w:hAnsi="Symbol" w:cs="Times New Roman"/>
          <w:vertAlign w:val="subscript"/>
        </w:rPr>
        <w:t></w:t>
      </w:r>
      <w:r w:rsidR="007B54A5">
        <w:rPr>
          <w:rFonts w:ascii="Symbol" w:hAnsi="Symbol" w:cs="Times New Roman"/>
          <w:vertAlign w:val="subscript"/>
        </w:rPr>
        <w:t></w:t>
      </w:r>
      <w:r w:rsidRPr="00020319">
        <w:rPr>
          <w:rFonts w:ascii="Times New Roman" w:hAnsi="Times New Roman" w:cs="Times New Roman"/>
          <w:vertAlign w:val="subscript"/>
        </w:rPr>
        <w:t>t</w:t>
      </w:r>
      <w:r w:rsidRPr="00020319">
        <w:rPr>
          <w:rFonts w:ascii="Times New Roman" w:hAnsi="Times New Roman" w:cs="Times New Roman"/>
        </w:rPr>
        <w:t xml:space="preserve"> as an indicator </w:t>
      </w:r>
      <w:r w:rsidR="004D09FF">
        <w:rPr>
          <w:rFonts w:ascii="Times New Roman" w:hAnsi="Times New Roman" w:cs="Times New Roman"/>
        </w:rPr>
        <w:t xml:space="preserve">of </w:t>
      </w:r>
      <w:r w:rsidRPr="00020319">
        <w:rPr>
          <w:rFonts w:ascii="Times New Roman" w:hAnsi="Times New Roman" w:cs="Times New Roman"/>
        </w:rPr>
        <w:t xml:space="preserve">whether person i was eligible to receive the “treatment” in period t.  In the control </w:t>
      </w:r>
      <w:r w:rsidR="007B54A5">
        <w:rPr>
          <w:rFonts w:ascii="Times New Roman" w:hAnsi="Times New Roman" w:cs="Times New Roman"/>
        </w:rPr>
        <w:t xml:space="preserve">(or ineligible) </w:t>
      </w:r>
      <w:r w:rsidRPr="00020319">
        <w:rPr>
          <w:rFonts w:ascii="Times New Roman" w:hAnsi="Times New Roman" w:cs="Times New Roman"/>
        </w:rPr>
        <w:t xml:space="preserve">group, </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vertAlign w:val="subscript"/>
        </w:rPr>
        <w:t></w:t>
      </w:r>
      <w:r w:rsidRPr="00020319">
        <w:rPr>
          <w:rFonts w:ascii="Times New Roman" w:hAnsi="Times New Roman" w:cs="Times New Roman"/>
          <w:vertAlign w:val="subscript"/>
        </w:rPr>
        <w:t>t</w:t>
      </w:r>
      <w:r w:rsidRPr="00020319">
        <w:rPr>
          <w:rFonts w:ascii="Times New Roman" w:hAnsi="Times New Roman" w:cs="Times New Roman"/>
        </w:rPr>
        <w:t xml:space="preserve"> = </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vertAlign w:val="subscript"/>
        </w:rPr>
        <w:t></w:t>
      </w:r>
      <w:r w:rsidRPr="00020319">
        <w:rPr>
          <w:rFonts w:ascii="Times New Roman" w:hAnsi="Times New Roman" w:cs="Times New Roman"/>
          <w:vertAlign w:val="subscript"/>
        </w:rPr>
        <w:t>t+1</w:t>
      </w:r>
      <w:r w:rsidRPr="00020319">
        <w:rPr>
          <w:rFonts w:ascii="Times New Roman" w:hAnsi="Times New Roman" w:cs="Times New Roman"/>
        </w:rPr>
        <w:t xml:space="preserve"> = 0.  For experimentals</w:t>
      </w:r>
      <w:r w:rsidR="007B54A5">
        <w:rPr>
          <w:rFonts w:ascii="Times New Roman" w:hAnsi="Times New Roman" w:cs="Times New Roman"/>
        </w:rPr>
        <w:t xml:space="preserve"> (or eligibles)</w:t>
      </w:r>
      <w:r w:rsidRPr="00020319">
        <w:rPr>
          <w:rFonts w:ascii="Times New Roman" w:hAnsi="Times New Roman" w:cs="Times New Roman"/>
        </w:rPr>
        <w:t xml:space="preserve">, </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vertAlign w:val="subscript"/>
        </w:rPr>
        <w:t></w:t>
      </w:r>
      <w:r w:rsidRPr="00020319">
        <w:rPr>
          <w:rFonts w:ascii="Times New Roman" w:hAnsi="Times New Roman" w:cs="Times New Roman"/>
          <w:vertAlign w:val="subscript"/>
        </w:rPr>
        <w:t xml:space="preserve">t </w:t>
      </w:r>
      <w:r w:rsidRPr="00020319">
        <w:rPr>
          <w:rFonts w:ascii="Times New Roman" w:hAnsi="Times New Roman" w:cs="Times New Roman"/>
        </w:rPr>
        <w:t xml:space="preserve">= 0 and </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vertAlign w:val="subscript"/>
        </w:rPr>
        <w:t></w:t>
      </w:r>
      <w:r w:rsidRPr="00020319">
        <w:rPr>
          <w:rFonts w:ascii="Times New Roman" w:hAnsi="Times New Roman" w:cs="Times New Roman"/>
          <w:vertAlign w:val="subscript"/>
        </w:rPr>
        <w:t>t+1</w:t>
      </w:r>
      <w:r w:rsidRPr="00020319">
        <w:rPr>
          <w:rFonts w:ascii="Times New Roman" w:hAnsi="Times New Roman" w:cs="Times New Roman"/>
        </w:rPr>
        <w:t xml:space="preserve"> = 1.</w:t>
      </w:r>
      <w:r w:rsidRPr="00020319">
        <w:rPr>
          <w:rStyle w:val="FootnoteReference"/>
          <w:rFonts w:ascii="Times New Roman" w:hAnsi="Times New Roman" w:cs="Times New Roman"/>
        </w:rPr>
        <w:footnoteReference w:id="36"/>
      </w:r>
      <w:r w:rsidR="00874196">
        <w:rPr>
          <w:rFonts w:ascii="Times New Roman" w:hAnsi="Times New Roman" w:cs="Times New Roman"/>
        </w:rPr>
        <w:t xml:space="preserve">  </w:t>
      </w:r>
      <w:r w:rsidR="00874196" w:rsidRPr="00020319">
        <w:rPr>
          <w:rFonts w:ascii="Symbol" w:hAnsi="Symbol" w:cs="Times New Roman"/>
        </w:rPr>
        <w:t></w:t>
      </w:r>
      <w:r w:rsidR="00874196" w:rsidRPr="00020319">
        <w:rPr>
          <w:rFonts w:ascii="Symbol" w:hAnsi="Symbol" w:cs="Times New Roman"/>
          <w:vertAlign w:val="subscript"/>
        </w:rPr>
        <w:t></w:t>
      </w:r>
      <w:r w:rsidR="00874196">
        <w:rPr>
          <w:rFonts w:ascii="Symbol" w:hAnsi="Symbol" w:cs="Times New Roman"/>
          <w:vertAlign w:val="subscript"/>
        </w:rPr>
        <w:t></w:t>
      </w:r>
      <w:r w:rsidR="00874196">
        <w:rPr>
          <w:rFonts w:ascii="Times New Roman" w:hAnsi="Times New Roman" w:cs="Times New Roman"/>
        </w:rPr>
        <w:t xml:space="preserve">measures the simple additive effect of the treatment; </w:t>
      </w:r>
      <w:r w:rsidR="00874196" w:rsidRPr="00020319">
        <w:rPr>
          <w:rFonts w:ascii="Symbol" w:hAnsi="Symbol" w:cs="Times New Roman"/>
        </w:rPr>
        <w:t></w:t>
      </w:r>
      <w:r w:rsidR="00874196" w:rsidRPr="00020319">
        <w:rPr>
          <w:rFonts w:ascii="Times New Roman" w:hAnsi="Times New Roman" w:cs="Times New Roman"/>
          <w:vertAlign w:val="subscript"/>
        </w:rPr>
        <w:t>1</w:t>
      </w:r>
      <w:r w:rsidR="00874196">
        <w:rPr>
          <w:rFonts w:ascii="Times New Roman" w:hAnsi="Times New Roman" w:cs="Times New Roman"/>
          <w:vertAlign w:val="subscript"/>
        </w:rPr>
        <w:t xml:space="preserve"> </w:t>
      </w:r>
      <w:r w:rsidR="00874196">
        <w:rPr>
          <w:rFonts w:ascii="Times New Roman" w:hAnsi="Times New Roman" w:cs="Times New Roman"/>
        </w:rPr>
        <w:t xml:space="preserve">allows the treatment effect to interact with the time invariant characteristics </w:t>
      </w:r>
      <w:r w:rsidR="00874196" w:rsidRPr="00020319">
        <w:rPr>
          <w:rFonts w:ascii="Times New Roman" w:hAnsi="Times New Roman" w:cs="Times New Roman"/>
        </w:rPr>
        <w:t>X</w:t>
      </w:r>
      <w:r w:rsidR="00874196" w:rsidRPr="00020319">
        <w:rPr>
          <w:rFonts w:ascii="Times New Roman" w:hAnsi="Times New Roman" w:cs="Times New Roman"/>
          <w:vertAlign w:val="subscript"/>
        </w:rPr>
        <w:t>i</w:t>
      </w:r>
      <w:r w:rsidR="00874196">
        <w:rPr>
          <w:rFonts w:ascii="Times New Roman" w:hAnsi="Times New Roman" w:cs="Times New Roman"/>
          <w:vertAlign w:val="subscript"/>
        </w:rPr>
        <w:t xml:space="preserve"> </w:t>
      </w:r>
      <w:r w:rsidR="00874196">
        <w:rPr>
          <w:rFonts w:ascii="Times New Roman" w:hAnsi="Times New Roman" w:cs="Times New Roman"/>
        </w:rPr>
        <w:t xml:space="preserve">and </w:t>
      </w:r>
      <w:r w:rsidR="00874196" w:rsidRPr="00020319">
        <w:rPr>
          <w:rFonts w:ascii="Symbol" w:hAnsi="Symbol" w:cs="Times New Roman"/>
        </w:rPr>
        <w:t></w:t>
      </w:r>
      <w:r w:rsidR="00874196" w:rsidRPr="00020319">
        <w:rPr>
          <w:rFonts w:ascii="Times New Roman" w:hAnsi="Times New Roman" w:cs="Times New Roman"/>
          <w:vertAlign w:val="subscript"/>
        </w:rPr>
        <w:t>2</w:t>
      </w:r>
      <w:r w:rsidR="00874196">
        <w:rPr>
          <w:rFonts w:ascii="Times New Roman" w:hAnsi="Times New Roman" w:cs="Times New Roman"/>
          <w:vertAlign w:val="subscript"/>
        </w:rPr>
        <w:t xml:space="preserve"> </w:t>
      </w:r>
      <w:r w:rsidR="00874196">
        <w:rPr>
          <w:rFonts w:ascii="Times New Roman" w:hAnsi="Times New Roman" w:cs="Times New Roman"/>
        </w:rPr>
        <w:t>allow</w:t>
      </w:r>
      <w:r w:rsidR="00B30602">
        <w:rPr>
          <w:rFonts w:ascii="Times New Roman" w:hAnsi="Times New Roman" w:cs="Times New Roman"/>
        </w:rPr>
        <w:t>s</w:t>
      </w:r>
      <w:r w:rsidR="00874196">
        <w:rPr>
          <w:rFonts w:ascii="Times New Roman" w:hAnsi="Times New Roman" w:cs="Times New Roman"/>
        </w:rPr>
        <w:t xml:space="preserve"> the treatment effect to interact with the time varying </w:t>
      </w:r>
      <w:r w:rsidR="00874196" w:rsidRPr="00020319">
        <w:rPr>
          <w:rFonts w:ascii="Times New Roman" w:hAnsi="Times New Roman" w:cs="Times New Roman"/>
        </w:rPr>
        <w:t>Z</w:t>
      </w:r>
      <w:r w:rsidR="00874196" w:rsidRPr="00020319">
        <w:rPr>
          <w:rFonts w:ascii="Times New Roman" w:hAnsi="Times New Roman" w:cs="Times New Roman"/>
          <w:vertAlign w:val="subscript"/>
        </w:rPr>
        <w:t>i</w:t>
      </w:r>
      <w:r w:rsidR="00874196">
        <w:rPr>
          <w:rFonts w:ascii="Times New Roman" w:hAnsi="Times New Roman" w:cs="Times New Roman"/>
          <w:vertAlign w:val="subscript"/>
        </w:rPr>
        <w:t xml:space="preserve"> </w:t>
      </w:r>
      <w:r w:rsidR="00874196">
        <w:rPr>
          <w:rFonts w:ascii="Times New Roman" w:hAnsi="Times New Roman" w:cs="Times New Roman"/>
        </w:rPr>
        <w:t>.</w:t>
      </w:r>
    </w:p>
    <w:p w14:paraId="61D1826C" w14:textId="77777777" w:rsidR="00020319" w:rsidRPr="00020319" w:rsidRDefault="00020319" w:rsidP="00AC6265">
      <w:pPr>
        <w:pStyle w:val="ListParagraph"/>
        <w:spacing w:line="240" w:lineRule="auto"/>
        <w:ind w:left="0"/>
        <w:jc w:val="both"/>
        <w:rPr>
          <w:rFonts w:ascii="Times New Roman" w:hAnsi="Times New Roman" w:cs="Times New Roman"/>
        </w:rPr>
      </w:pPr>
    </w:p>
    <w:p w14:paraId="3D8557C1" w14:textId="28B6DDC5" w:rsidR="00020319" w:rsidRPr="00020319" w:rsidRDefault="00020319" w:rsidP="00AC6265">
      <w:pPr>
        <w:pStyle w:val="ListParagraph"/>
        <w:spacing w:line="240" w:lineRule="auto"/>
        <w:ind w:left="0"/>
        <w:jc w:val="both"/>
        <w:rPr>
          <w:rFonts w:ascii="Times New Roman" w:hAnsi="Times New Roman" w:cs="Times New Roman"/>
        </w:rPr>
      </w:pPr>
      <w:r w:rsidRPr="00020319">
        <w:rPr>
          <w:rFonts w:ascii="Times New Roman" w:hAnsi="Times New Roman" w:cs="Times New Roman"/>
        </w:rPr>
        <w:t xml:space="preserve">For control cases (for which we use the superscript c), the </w:t>
      </w:r>
      <w:r w:rsidR="007B54A5">
        <w:rPr>
          <w:rFonts w:ascii="Times New Roman" w:hAnsi="Times New Roman" w:cs="Times New Roman"/>
        </w:rPr>
        <w:t>“</w:t>
      </w:r>
      <w:r w:rsidRPr="00020319">
        <w:rPr>
          <w:rFonts w:ascii="Times New Roman" w:hAnsi="Times New Roman" w:cs="Times New Roman"/>
        </w:rPr>
        <w:t>after</w:t>
      </w:r>
      <w:r w:rsidR="007B54A5">
        <w:rPr>
          <w:rFonts w:ascii="Times New Roman" w:hAnsi="Times New Roman" w:cs="Times New Roman"/>
        </w:rPr>
        <w:t>” outcome</w:t>
      </w:r>
      <w:r w:rsidRPr="00020319">
        <w:rPr>
          <w:rFonts w:ascii="Times New Roman" w:hAnsi="Times New Roman" w:cs="Times New Roman"/>
        </w:rPr>
        <w:t xml:space="preserve"> minus </w:t>
      </w:r>
      <w:r w:rsidR="007B54A5">
        <w:rPr>
          <w:rFonts w:ascii="Times New Roman" w:hAnsi="Times New Roman" w:cs="Times New Roman"/>
        </w:rPr>
        <w:t>the “</w:t>
      </w:r>
      <w:r w:rsidRPr="00020319">
        <w:rPr>
          <w:rFonts w:ascii="Times New Roman" w:hAnsi="Times New Roman" w:cs="Times New Roman"/>
        </w:rPr>
        <w:t>before</w:t>
      </w:r>
      <w:r w:rsidR="007B54A5">
        <w:rPr>
          <w:rFonts w:ascii="Times New Roman" w:hAnsi="Times New Roman" w:cs="Times New Roman"/>
        </w:rPr>
        <w:t>” outcome</w:t>
      </w:r>
      <w:r w:rsidRPr="00020319">
        <w:rPr>
          <w:rFonts w:ascii="Times New Roman" w:hAnsi="Times New Roman" w:cs="Times New Roman"/>
        </w:rPr>
        <w:t xml:space="preserve"> change is</w:t>
      </w:r>
    </w:p>
    <w:p w14:paraId="3F845DE1" w14:textId="77777777" w:rsidR="00020319" w:rsidRPr="00020319" w:rsidRDefault="00020319" w:rsidP="00020319">
      <w:pPr>
        <w:pStyle w:val="ListParagraph"/>
        <w:spacing w:line="240" w:lineRule="auto"/>
        <w:ind w:left="0"/>
        <w:rPr>
          <w:rFonts w:ascii="Times New Roman" w:hAnsi="Times New Roman" w:cs="Times New Roman"/>
        </w:rPr>
      </w:pPr>
    </w:p>
    <w:p w14:paraId="611DDAEF" w14:textId="66A831B0" w:rsidR="00020319" w:rsidRDefault="00020319" w:rsidP="00020319">
      <w:pPr>
        <w:pStyle w:val="ListParagraph"/>
        <w:spacing w:line="240" w:lineRule="auto"/>
        <w:ind w:left="0"/>
        <w:rPr>
          <w:rFonts w:ascii="Times New Roman" w:hAnsi="Times New Roman" w:cs="Times New Roman"/>
        </w:rPr>
      </w:pPr>
      <w:r w:rsidRPr="00020319">
        <w:rPr>
          <w:rFonts w:ascii="Times New Roman" w:hAnsi="Times New Roman" w:cs="Times New Roman"/>
        </w:rPr>
        <w:tab/>
      </w:r>
      <w:r w:rsidRPr="00020319">
        <w:rPr>
          <w:rFonts w:ascii="Symbol" w:hAnsi="Symbol" w:cs="Times New Roman"/>
        </w:rPr>
        <w:t></w:t>
      </w:r>
      <w:r w:rsidRPr="00020319">
        <w:rPr>
          <w:rFonts w:ascii="Times New Roman" w:hAnsi="Times New Roman" w:cs="Times New Roman"/>
        </w:rPr>
        <w:t>Y</w:t>
      </w:r>
      <w:r w:rsidRPr="00020319">
        <w:rPr>
          <w:rFonts w:ascii="Times New Roman" w:hAnsi="Times New Roman" w:cs="Times New Roman"/>
          <w:vertAlign w:val="superscript"/>
        </w:rPr>
        <w:t>c</w:t>
      </w:r>
      <w:r w:rsidRPr="00020319">
        <w:rPr>
          <w:rFonts w:ascii="Times New Roman" w:hAnsi="Times New Roman" w:cs="Times New Roman"/>
        </w:rPr>
        <w:t xml:space="preserve"> = </w:t>
      </w:r>
      <w:r w:rsidR="0054250A" w:rsidRPr="00020319">
        <w:rPr>
          <w:rFonts w:ascii="Times New Roman" w:hAnsi="Times New Roman" w:cs="Times New Roman"/>
        </w:rPr>
        <w:t>X</w:t>
      </w:r>
      <w:r w:rsidR="0054250A" w:rsidRPr="00020319">
        <w:rPr>
          <w:rFonts w:ascii="Times New Roman" w:hAnsi="Times New Roman" w:cs="Times New Roman"/>
          <w:vertAlign w:val="subscript"/>
        </w:rPr>
        <w:t>i</w:t>
      </w:r>
      <w:r w:rsidR="0054250A" w:rsidRPr="00020319">
        <w:rPr>
          <w:rFonts w:ascii="Symbol" w:hAnsi="Symbol" w:cs="Times New Roman"/>
        </w:rPr>
        <w:t></w:t>
      </w:r>
      <w:r w:rsidR="0054250A">
        <w:rPr>
          <w:rFonts w:ascii="Symbol" w:hAnsi="Symbol" w:cs="Times New Roman"/>
          <w:vertAlign w:val="subscript"/>
        </w:rPr>
        <w:t></w:t>
      </w:r>
      <w:r w:rsidR="0054250A" w:rsidRPr="00020319">
        <w:rPr>
          <w:rFonts w:ascii="Symbol" w:hAnsi="Symbol" w:cs="Times New Roman"/>
        </w:rPr>
        <w:t></w:t>
      </w:r>
      <w:r w:rsidR="0054250A" w:rsidRPr="00020319">
        <w:rPr>
          <w:rFonts w:ascii="Times New Roman" w:hAnsi="Times New Roman" w:cs="Times New Roman"/>
        </w:rPr>
        <w:t>+</w:t>
      </w:r>
      <w:r w:rsidR="0054250A">
        <w:rPr>
          <w:rFonts w:ascii="Times New Roman" w:hAnsi="Times New Roman" w:cs="Times New Roman"/>
        </w:rPr>
        <w:t xml:space="preserve"> </w:t>
      </w:r>
      <w:r w:rsidRPr="00020319">
        <w:rPr>
          <w:rFonts w:ascii="Symbol" w:hAnsi="Symbol" w:cs="Times New Roman"/>
        </w:rPr>
        <w:t></w:t>
      </w:r>
      <w:r w:rsidRPr="00020319">
        <w:rPr>
          <w:rFonts w:ascii="Times New Roman" w:hAnsi="Times New Roman" w:cs="Times New Roman"/>
        </w:rPr>
        <w:t>Z</w:t>
      </w:r>
      <w:r w:rsidRPr="00020319">
        <w:rPr>
          <w:rFonts w:ascii="Times New Roman" w:hAnsi="Times New Roman" w:cs="Times New Roman"/>
          <w:vertAlign w:val="superscript"/>
        </w:rPr>
        <w:t>c</w:t>
      </w:r>
      <w:r w:rsidRPr="00020319">
        <w:rPr>
          <w:rFonts w:ascii="Symbol" w:hAnsi="Symbol" w:cs="Times New Roman"/>
        </w:rPr>
        <w:t></w:t>
      </w:r>
      <w:r w:rsidRPr="00020319">
        <w:rPr>
          <w:rFonts w:ascii="Times New Roman" w:hAnsi="Times New Roman" w:cs="Times New Roman"/>
          <w:vertAlign w:val="subscript"/>
        </w:rPr>
        <w:t>1</w:t>
      </w:r>
      <w:r w:rsidRPr="00020319">
        <w:rPr>
          <w:rFonts w:ascii="Times New Roman" w:hAnsi="Times New Roman" w:cs="Times New Roman"/>
        </w:rPr>
        <w:t xml:space="preserve"> + </w:t>
      </w:r>
      <w:r w:rsidRPr="00020319">
        <w:rPr>
          <w:rFonts w:ascii="Symbol" w:hAnsi="Symbol" w:cs="Times New Roman"/>
        </w:rPr>
        <w:t></w:t>
      </w:r>
      <w:r w:rsidRPr="00020319">
        <w:rPr>
          <w:rFonts w:ascii="Times New Roman" w:hAnsi="Times New Roman" w:cs="Times New Roman"/>
        </w:rPr>
        <w:t>u</w:t>
      </w:r>
      <w:r w:rsidRPr="00020319">
        <w:rPr>
          <w:rFonts w:ascii="Times New Roman" w:hAnsi="Times New Roman" w:cs="Times New Roman"/>
          <w:vertAlign w:val="superscript"/>
        </w:rPr>
        <w:t>c</w:t>
      </w:r>
      <w:r w:rsidRPr="00020319">
        <w:rPr>
          <w:rFonts w:ascii="Times New Roman" w:hAnsi="Times New Roman" w:cs="Times New Roman"/>
        </w:rPr>
        <w:t>.</w:t>
      </w:r>
      <w:r w:rsidR="008212B0">
        <w:rPr>
          <w:rFonts w:ascii="Times New Roman" w:hAnsi="Times New Roman" w:cs="Times New Roman"/>
        </w:rPr>
        <w:tab/>
      </w:r>
      <w:r w:rsidR="008212B0">
        <w:rPr>
          <w:rFonts w:ascii="Times New Roman" w:hAnsi="Times New Roman" w:cs="Times New Roman"/>
        </w:rPr>
        <w:tab/>
      </w:r>
      <w:r w:rsidR="008212B0">
        <w:rPr>
          <w:rFonts w:ascii="Times New Roman" w:hAnsi="Times New Roman" w:cs="Times New Roman"/>
        </w:rPr>
        <w:tab/>
        <w:t>3)</w:t>
      </w:r>
    </w:p>
    <w:p w14:paraId="5D872160" w14:textId="77777777" w:rsidR="008212B0" w:rsidRPr="00020319" w:rsidRDefault="008212B0" w:rsidP="00020319">
      <w:pPr>
        <w:pStyle w:val="ListParagraph"/>
        <w:spacing w:line="240" w:lineRule="auto"/>
        <w:ind w:left="0"/>
        <w:rPr>
          <w:rFonts w:ascii="Times New Roman" w:hAnsi="Times New Roman" w:cs="Times New Roman"/>
        </w:rPr>
      </w:pPr>
    </w:p>
    <w:p w14:paraId="5164E80D" w14:textId="77777777" w:rsidR="00020319" w:rsidRPr="00020319" w:rsidRDefault="00020319" w:rsidP="00020319">
      <w:pPr>
        <w:pStyle w:val="ListParagraph"/>
        <w:spacing w:line="240" w:lineRule="auto"/>
        <w:ind w:left="0"/>
        <w:rPr>
          <w:rFonts w:ascii="Times New Roman" w:hAnsi="Times New Roman" w:cs="Times New Roman"/>
        </w:rPr>
      </w:pPr>
      <w:r w:rsidRPr="00020319">
        <w:rPr>
          <w:rFonts w:ascii="Times New Roman" w:hAnsi="Times New Roman" w:cs="Times New Roman"/>
        </w:rPr>
        <w:t xml:space="preserve">Where </w:t>
      </w:r>
      <w:r w:rsidRPr="00020319">
        <w:rPr>
          <w:rFonts w:ascii="Symbol" w:hAnsi="Symbol" w:cs="Times New Roman"/>
        </w:rPr>
        <w:t></w:t>
      </w:r>
      <w:r w:rsidRPr="00020319">
        <w:rPr>
          <w:rFonts w:ascii="Times New Roman" w:hAnsi="Times New Roman" w:cs="Times New Roman"/>
        </w:rPr>
        <w:t>Y is Y</w:t>
      </w:r>
      <w:r w:rsidRPr="00020319">
        <w:rPr>
          <w:rFonts w:ascii="Times New Roman" w:hAnsi="Times New Roman" w:cs="Times New Roman"/>
          <w:vertAlign w:val="subscript"/>
        </w:rPr>
        <w:t xml:space="preserve">i,t+1 </w:t>
      </w:r>
      <w:r w:rsidRPr="00020319">
        <w:rPr>
          <w:rFonts w:ascii="Times New Roman" w:hAnsi="Times New Roman" w:cs="Times New Roman"/>
        </w:rPr>
        <w:t>- Y</w:t>
      </w:r>
      <w:r w:rsidRPr="00020319">
        <w:rPr>
          <w:rFonts w:ascii="Times New Roman" w:hAnsi="Times New Roman" w:cs="Times New Roman"/>
          <w:vertAlign w:val="subscript"/>
        </w:rPr>
        <w:t>i,t</w:t>
      </w:r>
      <w:r w:rsidRPr="00020319">
        <w:rPr>
          <w:rFonts w:ascii="Times New Roman" w:hAnsi="Times New Roman" w:cs="Times New Roman"/>
        </w:rPr>
        <w:t xml:space="preserve"> and similarly for other variables.</w:t>
      </w:r>
    </w:p>
    <w:p w14:paraId="272723C6" w14:textId="77777777" w:rsidR="00020319" w:rsidRPr="00020319" w:rsidRDefault="00020319" w:rsidP="00020319">
      <w:pPr>
        <w:pStyle w:val="ListParagraph"/>
        <w:spacing w:line="240" w:lineRule="auto"/>
        <w:ind w:left="0"/>
        <w:rPr>
          <w:rFonts w:ascii="Times New Roman" w:hAnsi="Times New Roman" w:cs="Times New Roman"/>
        </w:rPr>
      </w:pPr>
    </w:p>
    <w:p w14:paraId="23942FBC" w14:textId="77777777" w:rsidR="00020319" w:rsidRPr="00020319" w:rsidRDefault="00020319" w:rsidP="00020319">
      <w:pPr>
        <w:pStyle w:val="ListParagraph"/>
        <w:spacing w:line="240" w:lineRule="auto"/>
        <w:ind w:left="0"/>
        <w:rPr>
          <w:rFonts w:ascii="Times New Roman" w:hAnsi="Times New Roman" w:cs="Times New Roman"/>
        </w:rPr>
      </w:pPr>
      <w:r w:rsidRPr="00020319">
        <w:rPr>
          <w:rFonts w:ascii="Times New Roman" w:hAnsi="Times New Roman" w:cs="Times New Roman"/>
        </w:rPr>
        <w:t>For experimental cases (for which we use the superscript e), the corresponding change in outcome is</w:t>
      </w:r>
    </w:p>
    <w:p w14:paraId="06F7F9BF" w14:textId="77777777" w:rsidR="00020319" w:rsidRPr="00020319" w:rsidRDefault="00020319" w:rsidP="00020319">
      <w:pPr>
        <w:pStyle w:val="ListParagraph"/>
        <w:spacing w:line="240" w:lineRule="auto"/>
        <w:ind w:left="0"/>
        <w:rPr>
          <w:rFonts w:ascii="Times New Roman" w:hAnsi="Times New Roman" w:cs="Times New Roman"/>
        </w:rPr>
      </w:pPr>
    </w:p>
    <w:p w14:paraId="7234BB92" w14:textId="27F9AED6" w:rsidR="00020319" w:rsidRPr="00020319" w:rsidRDefault="00020319" w:rsidP="00020319">
      <w:pPr>
        <w:pStyle w:val="ListParagraph"/>
        <w:spacing w:line="240" w:lineRule="auto"/>
        <w:ind w:left="0"/>
        <w:rPr>
          <w:rFonts w:ascii="Times New Roman" w:hAnsi="Times New Roman" w:cs="Times New Roman"/>
        </w:rPr>
      </w:pPr>
      <w:r w:rsidRPr="00020319">
        <w:rPr>
          <w:rFonts w:ascii="Times New Roman" w:hAnsi="Times New Roman" w:cs="Times New Roman"/>
        </w:rPr>
        <w:tab/>
      </w:r>
      <w:r w:rsidRPr="00020319">
        <w:rPr>
          <w:rFonts w:ascii="Symbol" w:hAnsi="Symbol" w:cs="Times New Roman"/>
        </w:rPr>
        <w:t></w:t>
      </w:r>
      <w:r w:rsidRPr="00020319">
        <w:rPr>
          <w:rFonts w:ascii="Times New Roman" w:hAnsi="Times New Roman" w:cs="Times New Roman"/>
        </w:rPr>
        <w:t>Y</w:t>
      </w:r>
      <w:r w:rsidRPr="00020319">
        <w:rPr>
          <w:rFonts w:ascii="Times New Roman" w:hAnsi="Times New Roman" w:cs="Times New Roman"/>
          <w:vertAlign w:val="superscript"/>
        </w:rPr>
        <w:t>e</w:t>
      </w:r>
      <w:r w:rsidRPr="00020319">
        <w:rPr>
          <w:rFonts w:ascii="Times New Roman" w:hAnsi="Times New Roman" w:cs="Times New Roman"/>
        </w:rPr>
        <w:t xml:space="preserve"> = </w:t>
      </w:r>
      <w:r w:rsidR="0054250A" w:rsidRPr="00020319">
        <w:rPr>
          <w:rFonts w:ascii="Times New Roman" w:hAnsi="Times New Roman" w:cs="Times New Roman"/>
        </w:rPr>
        <w:t>X</w:t>
      </w:r>
      <w:r w:rsidR="0054250A" w:rsidRPr="00020319">
        <w:rPr>
          <w:rFonts w:ascii="Times New Roman" w:hAnsi="Times New Roman" w:cs="Times New Roman"/>
          <w:vertAlign w:val="subscript"/>
        </w:rPr>
        <w:t>i</w:t>
      </w:r>
      <w:r w:rsidR="0054250A" w:rsidRPr="00020319">
        <w:rPr>
          <w:rFonts w:ascii="Symbol" w:hAnsi="Symbol" w:cs="Times New Roman"/>
        </w:rPr>
        <w:t></w:t>
      </w:r>
      <w:r w:rsidR="0054250A">
        <w:rPr>
          <w:rFonts w:ascii="Symbol" w:hAnsi="Symbol" w:cs="Times New Roman"/>
          <w:vertAlign w:val="subscript"/>
        </w:rPr>
        <w:t></w:t>
      </w:r>
      <w:r w:rsidR="0054250A" w:rsidRPr="00020319">
        <w:rPr>
          <w:rFonts w:ascii="Symbol" w:hAnsi="Symbol" w:cs="Times New Roman"/>
        </w:rPr>
        <w:t></w:t>
      </w:r>
      <w:r w:rsidR="0054250A" w:rsidRPr="00020319">
        <w:rPr>
          <w:rFonts w:ascii="Times New Roman" w:hAnsi="Times New Roman" w:cs="Times New Roman"/>
        </w:rPr>
        <w:t>+</w:t>
      </w:r>
      <w:r w:rsidR="0054250A">
        <w:rPr>
          <w:rFonts w:ascii="Times New Roman" w:hAnsi="Times New Roman" w:cs="Times New Roman"/>
        </w:rPr>
        <w:t xml:space="preserve"> </w:t>
      </w:r>
      <w:r w:rsidRPr="00020319">
        <w:rPr>
          <w:rFonts w:ascii="Symbol" w:hAnsi="Symbol" w:cs="Times New Roman"/>
        </w:rPr>
        <w:t></w:t>
      </w:r>
      <w:r w:rsidRPr="00020319">
        <w:rPr>
          <w:rFonts w:ascii="Times New Roman" w:hAnsi="Times New Roman" w:cs="Times New Roman"/>
        </w:rPr>
        <w:t>Z</w:t>
      </w:r>
      <w:r w:rsidRPr="00020319">
        <w:rPr>
          <w:rFonts w:ascii="Times New Roman" w:hAnsi="Times New Roman" w:cs="Times New Roman"/>
          <w:vertAlign w:val="superscript"/>
        </w:rPr>
        <w:t>e</w:t>
      </w:r>
      <w:r w:rsidRPr="00020319">
        <w:rPr>
          <w:rFonts w:ascii="Symbol" w:hAnsi="Symbol" w:cs="Times New Roman"/>
        </w:rPr>
        <w:t></w:t>
      </w:r>
      <w:r w:rsidRPr="00020319">
        <w:rPr>
          <w:rFonts w:ascii="Times New Roman" w:hAnsi="Times New Roman" w:cs="Times New Roman"/>
          <w:vertAlign w:val="subscript"/>
        </w:rPr>
        <w:t>1</w:t>
      </w:r>
      <w:r w:rsidRPr="00020319">
        <w:rPr>
          <w:rFonts w:ascii="Times New Roman" w:hAnsi="Times New Roman" w:cs="Times New Roman"/>
        </w:rPr>
        <w:t xml:space="preserve"> + </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rPr>
        <w:t></w:t>
      </w:r>
      <w:r w:rsidRPr="00020319">
        <w:rPr>
          <w:rFonts w:ascii="Times New Roman" w:hAnsi="Times New Roman" w:cs="Times New Roman"/>
        </w:rPr>
        <w:t>+ X</w:t>
      </w:r>
      <w:r w:rsidRPr="00020319">
        <w:rPr>
          <w:rFonts w:ascii="Times New Roman" w:hAnsi="Times New Roman" w:cs="Times New Roman"/>
          <w:vertAlign w:val="subscript"/>
        </w:rPr>
        <w:t>i</w:t>
      </w:r>
      <w:r w:rsidRPr="00020319">
        <w:rPr>
          <w:rFonts w:ascii="Times New Roman" w:hAnsi="Times New Roman" w:cs="Times New Roman"/>
          <w:vertAlign w:val="superscript"/>
        </w:rPr>
        <w:t>e</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rPr>
        <w:t></w:t>
      </w:r>
      <w:r w:rsidRPr="00020319">
        <w:rPr>
          <w:rFonts w:ascii="Symbol" w:hAnsi="Symbol" w:cs="Times New Roman"/>
        </w:rPr>
        <w:t></w:t>
      </w:r>
      <w:r w:rsidRPr="00020319">
        <w:rPr>
          <w:rFonts w:ascii="Symbol" w:hAnsi="Symbol" w:cs="Times New Roman"/>
        </w:rPr>
        <w:t></w:t>
      </w:r>
      <w:r w:rsidRPr="00020319">
        <w:rPr>
          <w:rFonts w:ascii="Times New Roman" w:hAnsi="Times New Roman" w:cs="Times New Roman"/>
        </w:rPr>
        <w:t>Z</w:t>
      </w:r>
      <w:r w:rsidRPr="00020319">
        <w:rPr>
          <w:rFonts w:ascii="Times New Roman" w:hAnsi="Times New Roman" w:cs="Times New Roman"/>
          <w:vertAlign w:val="subscript"/>
        </w:rPr>
        <w:t>i,t+1</w:t>
      </w:r>
      <w:r w:rsidRPr="00020319">
        <w:rPr>
          <w:rFonts w:ascii="Times New Roman" w:hAnsi="Times New Roman" w:cs="Times New Roman"/>
          <w:vertAlign w:val="superscript"/>
        </w:rPr>
        <w:t>e</w:t>
      </w:r>
      <w:r w:rsidRPr="00020319">
        <w:rPr>
          <w:rFonts w:ascii="Symbol" w:hAnsi="Symbol" w:cs="Times New Roman"/>
        </w:rPr>
        <w:t></w:t>
      </w:r>
      <w:r w:rsidRPr="00020319">
        <w:rPr>
          <w:rFonts w:ascii="Times New Roman" w:hAnsi="Times New Roman" w:cs="Times New Roman"/>
          <w:vertAlign w:val="subscript"/>
        </w:rPr>
        <w:t xml:space="preserve">2 </w:t>
      </w:r>
      <w:r w:rsidRPr="00020319">
        <w:rPr>
          <w:rFonts w:ascii="Times New Roman" w:hAnsi="Times New Roman" w:cs="Times New Roman"/>
        </w:rPr>
        <w:t xml:space="preserve">+ </w:t>
      </w:r>
      <w:r w:rsidRPr="00020319">
        <w:rPr>
          <w:rFonts w:ascii="Symbol" w:hAnsi="Symbol" w:cs="Times New Roman"/>
        </w:rPr>
        <w:t></w:t>
      </w:r>
      <w:r w:rsidRPr="00020319">
        <w:rPr>
          <w:rFonts w:ascii="Times New Roman" w:hAnsi="Times New Roman" w:cs="Times New Roman"/>
        </w:rPr>
        <w:t>u</w:t>
      </w:r>
      <w:r w:rsidRPr="00020319">
        <w:rPr>
          <w:rFonts w:ascii="Times New Roman" w:hAnsi="Times New Roman" w:cs="Times New Roman"/>
          <w:vertAlign w:val="superscript"/>
        </w:rPr>
        <w:t>e</w:t>
      </w:r>
      <w:r w:rsidRPr="00020319">
        <w:rPr>
          <w:rFonts w:ascii="Times New Roman" w:hAnsi="Times New Roman" w:cs="Times New Roman"/>
        </w:rPr>
        <w:t>.</w:t>
      </w:r>
      <w:r w:rsidR="008212B0">
        <w:rPr>
          <w:rFonts w:ascii="Times New Roman" w:hAnsi="Times New Roman" w:cs="Times New Roman"/>
        </w:rPr>
        <w:tab/>
      </w:r>
      <w:r w:rsidR="007B54A5">
        <w:rPr>
          <w:rFonts w:ascii="Times New Roman" w:hAnsi="Times New Roman" w:cs="Times New Roman"/>
        </w:rPr>
        <w:t>4</w:t>
      </w:r>
      <w:r w:rsidRPr="00020319">
        <w:rPr>
          <w:rFonts w:ascii="Times New Roman" w:hAnsi="Times New Roman" w:cs="Times New Roman"/>
        </w:rPr>
        <w:t>)</w:t>
      </w:r>
    </w:p>
    <w:p w14:paraId="6C0CD02A" w14:textId="77777777" w:rsidR="00020319" w:rsidRPr="00020319" w:rsidRDefault="00020319" w:rsidP="00020319">
      <w:pPr>
        <w:pStyle w:val="ListParagraph"/>
        <w:spacing w:line="240" w:lineRule="auto"/>
        <w:ind w:left="0"/>
        <w:rPr>
          <w:rFonts w:ascii="Times New Roman" w:hAnsi="Times New Roman" w:cs="Times New Roman"/>
        </w:rPr>
      </w:pPr>
    </w:p>
    <w:p w14:paraId="429ACC7A" w14:textId="77777777" w:rsidR="00020319" w:rsidRPr="00020319" w:rsidRDefault="00020319" w:rsidP="00AC6265">
      <w:pPr>
        <w:pStyle w:val="ListParagraph"/>
        <w:spacing w:line="276" w:lineRule="auto"/>
        <w:ind w:left="0"/>
        <w:rPr>
          <w:rFonts w:ascii="Times New Roman" w:hAnsi="Times New Roman" w:cs="Times New Roman"/>
        </w:rPr>
      </w:pPr>
      <w:r w:rsidRPr="00020319">
        <w:rPr>
          <w:rFonts w:ascii="Times New Roman" w:hAnsi="Times New Roman" w:cs="Times New Roman"/>
        </w:rPr>
        <w:t xml:space="preserve">If we “stack” </w:t>
      </w:r>
      <w:r w:rsidR="007B54A5">
        <w:rPr>
          <w:rFonts w:ascii="Times New Roman" w:hAnsi="Times New Roman" w:cs="Times New Roman"/>
        </w:rPr>
        <w:t>3</w:t>
      </w:r>
      <w:r w:rsidRPr="00020319">
        <w:rPr>
          <w:rFonts w:ascii="Times New Roman" w:hAnsi="Times New Roman" w:cs="Times New Roman"/>
        </w:rPr>
        <w:t xml:space="preserve">) and </w:t>
      </w:r>
      <w:r w:rsidR="007B54A5">
        <w:rPr>
          <w:rFonts w:ascii="Times New Roman" w:hAnsi="Times New Roman" w:cs="Times New Roman"/>
        </w:rPr>
        <w:t>4</w:t>
      </w:r>
      <w:r w:rsidRPr="00020319">
        <w:rPr>
          <w:rFonts w:ascii="Times New Roman" w:hAnsi="Times New Roman" w:cs="Times New Roman"/>
        </w:rPr>
        <w:t xml:space="preserve">), pooling observations for both experimentals and controls, using </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vertAlign w:val="subscript"/>
        </w:rPr>
        <w:t></w:t>
      </w:r>
      <w:r w:rsidRPr="00020319">
        <w:rPr>
          <w:rFonts w:ascii="Times New Roman" w:hAnsi="Times New Roman" w:cs="Times New Roman"/>
          <w:vertAlign w:val="subscript"/>
        </w:rPr>
        <w:t xml:space="preserve">t </w:t>
      </w:r>
      <w:r w:rsidRPr="00020319">
        <w:rPr>
          <w:rFonts w:ascii="Times New Roman" w:hAnsi="Times New Roman" w:cs="Times New Roman"/>
        </w:rPr>
        <w:t>as a zero-one indicator for the two groups as above, the pooled regression is, again dropping the i subscript,</w:t>
      </w:r>
    </w:p>
    <w:p w14:paraId="47A3297B" w14:textId="77777777" w:rsidR="00020319" w:rsidRPr="00020319" w:rsidRDefault="00020319" w:rsidP="00020319">
      <w:pPr>
        <w:pStyle w:val="ListParagraph"/>
        <w:spacing w:line="240" w:lineRule="auto"/>
        <w:ind w:left="0"/>
        <w:rPr>
          <w:rFonts w:ascii="Times New Roman" w:hAnsi="Times New Roman" w:cs="Times New Roman"/>
        </w:rPr>
      </w:pPr>
    </w:p>
    <w:p w14:paraId="597B2042" w14:textId="2F100530" w:rsidR="00020319" w:rsidRPr="00020319" w:rsidRDefault="00020319" w:rsidP="00020319">
      <w:pPr>
        <w:pStyle w:val="ListParagraph"/>
        <w:spacing w:line="240" w:lineRule="auto"/>
        <w:ind w:left="0"/>
        <w:rPr>
          <w:rFonts w:ascii="Times New Roman" w:hAnsi="Times New Roman" w:cs="Times New Roman"/>
        </w:rPr>
      </w:pPr>
      <w:r w:rsidRPr="00020319">
        <w:rPr>
          <w:rFonts w:ascii="Times New Roman" w:hAnsi="Times New Roman" w:cs="Times New Roman"/>
        </w:rPr>
        <w:tab/>
      </w:r>
      <w:r w:rsidRPr="00020319">
        <w:rPr>
          <w:rFonts w:ascii="Symbol" w:hAnsi="Symbol" w:cs="Times New Roman"/>
        </w:rPr>
        <w:t></w:t>
      </w:r>
      <w:r w:rsidRPr="00020319">
        <w:rPr>
          <w:rFonts w:ascii="Times New Roman" w:hAnsi="Times New Roman" w:cs="Times New Roman"/>
        </w:rPr>
        <w:t xml:space="preserve">Y = </w:t>
      </w:r>
      <w:r w:rsidR="0054250A" w:rsidRPr="00020319">
        <w:rPr>
          <w:rFonts w:ascii="Times New Roman" w:hAnsi="Times New Roman" w:cs="Times New Roman"/>
        </w:rPr>
        <w:t>X</w:t>
      </w:r>
      <w:r w:rsidR="0054250A" w:rsidRPr="00020319">
        <w:rPr>
          <w:rFonts w:ascii="Symbol" w:hAnsi="Symbol" w:cs="Times New Roman"/>
        </w:rPr>
        <w:t></w:t>
      </w:r>
      <w:r w:rsidR="0054250A">
        <w:rPr>
          <w:rFonts w:ascii="Symbol" w:hAnsi="Symbol" w:cs="Times New Roman"/>
          <w:vertAlign w:val="subscript"/>
        </w:rPr>
        <w:t></w:t>
      </w:r>
      <w:r w:rsidR="0054250A" w:rsidRPr="00020319">
        <w:rPr>
          <w:rFonts w:ascii="Symbol" w:hAnsi="Symbol" w:cs="Times New Roman"/>
        </w:rPr>
        <w:t></w:t>
      </w:r>
      <w:r w:rsidR="0054250A" w:rsidRPr="00020319">
        <w:rPr>
          <w:rFonts w:ascii="Times New Roman" w:hAnsi="Times New Roman" w:cs="Times New Roman"/>
        </w:rPr>
        <w:t>+</w:t>
      </w:r>
      <w:r w:rsidR="0054250A">
        <w:rPr>
          <w:rFonts w:ascii="Times New Roman" w:hAnsi="Times New Roman" w:cs="Times New Roman"/>
        </w:rPr>
        <w:t xml:space="preserve"> </w:t>
      </w:r>
      <w:r w:rsidRPr="00020319">
        <w:rPr>
          <w:rFonts w:ascii="Symbol" w:hAnsi="Symbol" w:cs="Times New Roman"/>
        </w:rPr>
        <w:t></w:t>
      </w:r>
      <w:r w:rsidRPr="00020319">
        <w:rPr>
          <w:rFonts w:ascii="Times New Roman" w:hAnsi="Times New Roman" w:cs="Times New Roman"/>
        </w:rPr>
        <w:t>Z</w:t>
      </w:r>
      <w:r w:rsidRPr="00020319">
        <w:rPr>
          <w:rFonts w:ascii="Symbol" w:hAnsi="Symbol" w:cs="Times New Roman"/>
        </w:rPr>
        <w:t></w:t>
      </w:r>
      <w:r w:rsidRPr="00020319">
        <w:rPr>
          <w:rFonts w:ascii="Times New Roman" w:hAnsi="Times New Roman" w:cs="Times New Roman"/>
          <w:vertAlign w:val="subscript"/>
        </w:rPr>
        <w:t>1</w:t>
      </w:r>
      <w:r w:rsidRPr="00020319">
        <w:rPr>
          <w:rFonts w:ascii="Times New Roman" w:hAnsi="Times New Roman" w:cs="Times New Roman"/>
        </w:rPr>
        <w:t xml:space="preserve"> + </w:t>
      </w:r>
      <w:r w:rsidRPr="00020319">
        <w:rPr>
          <w:rFonts w:ascii="Symbol" w:hAnsi="Symbol" w:cs="Times New Roman"/>
        </w:rPr>
        <w:t></w:t>
      </w:r>
      <w:r w:rsidRPr="00020319">
        <w:rPr>
          <w:rFonts w:ascii="Times New Roman" w:hAnsi="Times New Roman" w:cs="Times New Roman"/>
          <w:vertAlign w:val="subscript"/>
        </w:rPr>
        <w:t>t</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rPr>
        <w:t></w:t>
      </w:r>
      <w:r w:rsidRPr="00020319">
        <w:rPr>
          <w:rFonts w:ascii="Times New Roman" w:hAnsi="Times New Roman" w:cs="Times New Roman"/>
        </w:rPr>
        <w:t xml:space="preserve">+ </w:t>
      </w:r>
      <w:r w:rsidRPr="00020319">
        <w:rPr>
          <w:rFonts w:ascii="Symbol" w:hAnsi="Symbol" w:cs="Times New Roman"/>
        </w:rPr>
        <w:t></w:t>
      </w:r>
      <w:r w:rsidRPr="00020319">
        <w:rPr>
          <w:rFonts w:ascii="Times New Roman" w:hAnsi="Times New Roman" w:cs="Times New Roman"/>
          <w:vertAlign w:val="subscript"/>
        </w:rPr>
        <w:t>t</w:t>
      </w:r>
      <w:r w:rsidRPr="00020319">
        <w:rPr>
          <w:rFonts w:ascii="Times New Roman" w:hAnsi="Times New Roman" w:cs="Times New Roman"/>
        </w:rPr>
        <w:t>X</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rPr>
        <w:t></w:t>
      </w:r>
      <w:r w:rsidRPr="00020319">
        <w:rPr>
          <w:rFonts w:ascii="Symbol" w:hAnsi="Symbol" w:cs="Times New Roman"/>
        </w:rPr>
        <w:t></w:t>
      </w:r>
      <w:r w:rsidRPr="00020319">
        <w:rPr>
          <w:rFonts w:ascii="Symbol" w:hAnsi="Symbol" w:cs="Times New Roman"/>
        </w:rPr>
        <w:t></w:t>
      </w:r>
      <w:r w:rsidRPr="00020319">
        <w:rPr>
          <w:rFonts w:ascii="Symbol" w:hAnsi="Symbol" w:cs="Times New Roman"/>
        </w:rPr>
        <w:t></w:t>
      </w:r>
      <w:r w:rsidRPr="00020319">
        <w:rPr>
          <w:rFonts w:ascii="Times New Roman" w:hAnsi="Times New Roman" w:cs="Times New Roman"/>
          <w:vertAlign w:val="subscript"/>
        </w:rPr>
        <w:t>t</w:t>
      </w:r>
      <w:r w:rsidRPr="00020319">
        <w:rPr>
          <w:rFonts w:ascii="Times New Roman" w:hAnsi="Times New Roman" w:cs="Times New Roman"/>
        </w:rPr>
        <w:t>Z</w:t>
      </w:r>
      <w:r w:rsidRPr="00020319">
        <w:rPr>
          <w:rFonts w:ascii="Times New Roman" w:hAnsi="Times New Roman" w:cs="Times New Roman"/>
          <w:vertAlign w:val="subscript"/>
        </w:rPr>
        <w:t>t+1</w:t>
      </w:r>
      <w:r w:rsidRPr="00020319">
        <w:rPr>
          <w:rFonts w:ascii="Symbol" w:hAnsi="Symbol" w:cs="Times New Roman"/>
        </w:rPr>
        <w:t></w:t>
      </w:r>
      <w:r w:rsidRPr="00020319">
        <w:rPr>
          <w:rFonts w:ascii="Times New Roman" w:hAnsi="Times New Roman" w:cs="Times New Roman"/>
          <w:vertAlign w:val="subscript"/>
        </w:rPr>
        <w:t xml:space="preserve">2 </w:t>
      </w:r>
      <w:r w:rsidRPr="00020319">
        <w:rPr>
          <w:rFonts w:ascii="Times New Roman" w:hAnsi="Times New Roman" w:cs="Times New Roman"/>
        </w:rPr>
        <w:t xml:space="preserve">+ </w:t>
      </w:r>
      <w:r w:rsidRPr="00020319">
        <w:rPr>
          <w:rFonts w:ascii="Symbol" w:hAnsi="Symbol" w:cs="Times New Roman"/>
        </w:rPr>
        <w:t></w:t>
      </w:r>
      <w:r w:rsidRPr="00020319">
        <w:rPr>
          <w:rFonts w:ascii="Times New Roman" w:hAnsi="Times New Roman" w:cs="Times New Roman"/>
        </w:rPr>
        <w:t>u.</w:t>
      </w:r>
      <w:r w:rsidR="008212B0">
        <w:rPr>
          <w:rFonts w:ascii="Times New Roman" w:hAnsi="Times New Roman" w:cs="Times New Roman"/>
        </w:rPr>
        <w:tab/>
      </w:r>
      <w:r w:rsidR="007B54A5">
        <w:rPr>
          <w:rFonts w:ascii="Times New Roman" w:hAnsi="Times New Roman" w:cs="Times New Roman"/>
        </w:rPr>
        <w:t>5</w:t>
      </w:r>
      <w:r w:rsidRPr="00020319">
        <w:rPr>
          <w:rFonts w:ascii="Times New Roman" w:hAnsi="Times New Roman" w:cs="Times New Roman"/>
        </w:rPr>
        <w:t>)</w:t>
      </w:r>
    </w:p>
    <w:p w14:paraId="6391763E" w14:textId="77777777" w:rsidR="00020319" w:rsidRPr="00020319" w:rsidRDefault="00020319" w:rsidP="00020319">
      <w:pPr>
        <w:pStyle w:val="ListParagraph"/>
        <w:spacing w:line="240" w:lineRule="auto"/>
        <w:ind w:left="0"/>
        <w:rPr>
          <w:rFonts w:ascii="Times New Roman" w:hAnsi="Times New Roman" w:cs="Times New Roman"/>
        </w:rPr>
      </w:pPr>
    </w:p>
    <w:p w14:paraId="5E720270" w14:textId="7D6F75A4" w:rsidR="004D642A" w:rsidRDefault="00020319" w:rsidP="00AC6265">
      <w:pPr>
        <w:pStyle w:val="ListParagraph"/>
        <w:ind w:left="0"/>
        <w:jc w:val="both"/>
        <w:rPr>
          <w:rFonts w:ascii="Times New Roman" w:hAnsi="Times New Roman" w:cs="Times New Roman"/>
        </w:rPr>
      </w:pPr>
      <w:r w:rsidRPr="00020319">
        <w:rPr>
          <w:rFonts w:ascii="Times New Roman" w:hAnsi="Times New Roman" w:cs="Times New Roman"/>
        </w:rPr>
        <w:t xml:space="preserve">This model is just identified in that there </w:t>
      </w:r>
      <w:r w:rsidR="0054250A">
        <w:rPr>
          <w:rFonts w:ascii="Times New Roman" w:hAnsi="Times New Roman" w:cs="Times New Roman"/>
        </w:rPr>
        <w:t>five</w:t>
      </w:r>
      <w:r w:rsidRPr="00020319">
        <w:rPr>
          <w:rFonts w:ascii="Times New Roman" w:hAnsi="Times New Roman" w:cs="Times New Roman"/>
        </w:rPr>
        <w:t xml:space="preserve"> parameters</w:t>
      </w:r>
      <w:r w:rsidR="0054250A">
        <w:rPr>
          <w:rFonts w:ascii="Times New Roman" w:hAnsi="Times New Roman" w:cs="Times New Roman"/>
        </w:rPr>
        <w:t xml:space="preserve"> (or parameter vectors)</w:t>
      </w:r>
      <w:r w:rsidRPr="00020319">
        <w:rPr>
          <w:rFonts w:ascii="Times New Roman" w:hAnsi="Times New Roman" w:cs="Times New Roman"/>
        </w:rPr>
        <w:t xml:space="preserve"> to be estimated (</w:t>
      </w:r>
      <w:r w:rsidR="0054250A" w:rsidRPr="00020319">
        <w:rPr>
          <w:rFonts w:ascii="Symbol" w:hAnsi="Symbol" w:cs="Times New Roman"/>
        </w:rPr>
        <w:t></w:t>
      </w:r>
      <w:r w:rsidR="0054250A">
        <w:rPr>
          <w:rFonts w:ascii="Symbol" w:hAnsi="Symbol" w:cs="Times New Roman"/>
          <w:vertAlign w:val="subscript"/>
        </w:rPr>
        <w:t></w:t>
      </w:r>
      <w:r w:rsidR="0054250A">
        <w:rPr>
          <w:rFonts w:ascii="Symbol" w:hAnsi="Symbol" w:cs="Times New Roman"/>
        </w:rPr>
        <w:t></w:t>
      </w:r>
      <w:r w:rsidR="0054250A">
        <w:rPr>
          <w:rFonts w:ascii="Symbol" w:hAnsi="Symbol" w:cs="Times New Roman"/>
        </w:rPr>
        <w:t></w:t>
      </w:r>
      <w:r w:rsidRPr="00020319">
        <w:rPr>
          <w:rFonts w:ascii="Symbol" w:hAnsi="Symbol" w:cs="Times New Roman"/>
        </w:rPr>
        <w:t></w:t>
      </w:r>
      <w:r w:rsidRPr="00020319">
        <w:rPr>
          <w:rFonts w:ascii="Times New Roman" w:hAnsi="Times New Roman" w:cs="Times New Roman"/>
          <w:vertAlign w:val="subscript"/>
        </w:rPr>
        <w:t>1</w:t>
      </w:r>
      <w:r w:rsidRPr="00020319">
        <w:rPr>
          <w:rFonts w:ascii="Times New Roman" w:hAnsi="Times New Roman" w:cs="Times New Roman"/>
        </w:rPr>
        <w:t xml:space="preserve">, </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rPr>
        <w:t></w:t>
      </w:r>
      <w:r w:rsidRPr="00020319">
        <w:rPr>
          <w:rFonts w:ascii="Symbol" w:hAnsi="Symbol" w:cs="Times New Roman"/>
        </w:rPr>
        <w:t></w:t>
      </w:r>
      <w:r w:rsidRPr="00020319">
        <w:rPr>
          <w:rFonts w:ascii="Symbol" w:hAnsi="Symbol" w:cs="Times New Roman"/>
        </w:rPr>
        <w:t></w:t>
      </w:r>
      <w:r w:rsidRPr="00020319">
        <w:rPr>
          <w:rFonts w:ascii="Symbol" w:hAnsi="Symbol" w:cs="Times New Roman"/>
          <w:vertAlign w:val="subscript"/>
        </w:rPr>
        <w:t></w:t>
      </w:r>
      <w:r w:rsidRPr="00020319">
        <w:rPr>
          <w:rFonts w:ascii="Symbol" w:hAnsi="Symbol" w:cs="Times New Roman"/>
        </w:rPr>
        <w:t></w:t>
      </w:r>
      <w:r w:rsidRPr="00020319">
        <w:rPr>
          <w:rFonts w:ascii="Times New Roman" w:hAnsi="Times New Roman" w:cs="Times New Roman"/>
        </w:rPr>
        <w:t xml:space="preserve">and </w:t>
      </w:r>
      <w:r w:rsidRPr="00020319">
        <w:rPr>
          <w:rFonts w:ascii="Symbol" w:hAnsi="Symbol" w:cs="Times New Roman"/>
        </w:rPr>
        <w:t></w:t>
      </w:r>
      <w:r w:rsidRPr="00020319">
        <w:rPr>
          <w:rFonts w:ascii="Times New Roman" w:hAnsi="Times New Roman" w:cs="Times New Roman"/>
          <w:vertAlign w:val="subscript"/>
        </w:rPr>
        <w:t>2</w:t>
      </w:r>
      <w:r w:rsidRPr="00020319">
        <w:rPr>
          <w:rFonts w:ascii="Times New Roman" w:hAnsi="Times New Roman" w:cs="Times New Roman"/>
        </w:rPr>
        <w:t xml:space="preserve">) and </w:t>
      </w:r>
      <w:r w:rsidR="0054250A">
        <w:rPr>
          <w:rFonts w:ascii="Times New Roman" w:hAnsi="Times New Roman" w:cs="Times New Roman"/>
        </w:rPr>
        <w:t>five</w:t>
      </w:r>
      <w:r w:rsidRPr="00020319">
        <w:rPr>
          <w:rFonts w:ascii="Times New Roman" w:hAnsi="Times New Roman" w:cs="Times New Roman"/>
        </w:rPr>
        <w:t xml:space="preserve"> regressors</w:t>
      </w:r>
      <w:r w:rsidR="0054250A">
        <w:rPr>
          <w:rFonts w:ascii="Times New Roman" w:hAnsi="Times New Roman" w:cs="Times New Roman"/>
        </w:rPr>
        <w:t xml:space="preserve"> (or regressor vectors)</w:t>
      </w:r>
      <w:r w:rsidRPr="00020319">
        <w:rPr>
          <w:rFonts w:ascii="Times New Roman" w:hAnsi="Times New Roman" w:cs="Times New Roman"/>
        </w:rPr>
        <w:t xml:space="preserve"> (</w:t>
      </w:r>
      <w:r w:rsidR="0054250A" w:rsidRPr="00020319">
        <w:rPr>
          <w:rFonts w:ascii="Times New Roman" w:hAnsi="Times New Roman" w:cs="Times New Roman"/>
        </w:rPr>
        <w:t>X</w:t>
      </w:r>
      <w:r w:rsidR="0054250A">
        <w:rPr>
          <w:rFonts w:ascii="Symbol" w:hAnsi="Symbol" w:cs="Times New Roman"/>
        </w:rPr>
        <w:t></w:t>
      </w:r>
      <w:r w:rsidR="00DB5116">
        <w:rPr>
          <w:rFonts w:ascii="Symbol" w:hAnsi="Symbol" w:cs="Times New Roman"/>
        </w:rPr>
        <w:t></w:t>
      </w:r>
      <w:r w:rsidRPr="00020319">
        <w:rPr>
          <w:rFonts w:ascii="Symbol" w:hAnsi="Symbol" w:cs="Times New Roman"/>
        </w:rPr>
        <w:t></w:t>
      </w:r>
      <w:r w:rsidRPr="00020319">
        <w:rPr>
          <w:rFonts w:ascii="Times New Roman" w:hAnsi="Times New Roman" w:cs="Times New Roman"/>
        </w:rPr>
        <w:t>Z,</w:t>
      </w:r>
      <w:r w:rsidRPr="00020319">
        <w:rPr>
          <w:rFonts w:ascii="Symbol" w:hAnsi="Symbol" w:cs="Times New Roman"/>
        </w:rPr>
        <w:t></w:t>
      </w:r>
      <w:r w:rsidRPr="00020319">
        <w:rPr>
          <w:rFonts w:ascii="Symbol" w:hAnsi="Symbol" w:cs="Times New Roman"/>
        </w:rPr>
        <w:t></w:t>
      </w:r>
      <w:r w:rsidRPr="00020319">
        <w:rPr>
          <w:rFonts w:ascii="Times New Roman" w:hAnsi="Times New Roman" w:cs="Times New Roman"/>
          <w:vertAlign w:val="subscript"/>
        </w:rPr>
        <w:t>t</w:t>
      </w:r>
      <w:r w:rsidRPr="00020319">
        <w:rPr>
          <w:rFonts w:ascii="Times New Roman" w:hAnsi="Times New Roman" w:cs="Times New Roman"/>
        </w:rPr>
        <w:t xml:space="preserve">, </w:t>
      </w:r>
      <w:r w:rsidRPr="00020319">
        <w:rPr>
          <w:rFonts w:ascii="Symbol" w:hAnsi="Symbol" w:cs="Times New Roman"/>
        </w:rPr>
        <w:t></w:t>
      </w:r>
      <w:r w:rsidRPr="00020319">
        <w:rPr>
          <w:rFonts w:ascii="Times New Roman" w:hAnsi="Times New Roman" w:cs="Times New Roman"/>
          <w:vertAlign w:val="subscript"/>
        </w:rPr>
        <w:t>t</w:t>
      </w:r>
      <w:r w:rsidRPr="00020319">
        <w:rPr>
          <w:rFonts w:ascii="Times New Roman" w:hAnsi="Times New Roman" w:cs="Times New Roman"/>
        </w:rPr>
        <w:t xml:space="preserve">X and </w:t>
      </w:r>
      <w:r w:rsidRPr="00020319">
        <w:rPr>
          <w:rFonts w:ascii="Symbol" w:hAnsi="Symbol" w:cs="Times New Roman"/>
        </w:rPr>
        <w:t></w:t>
      </w:r>
      <w:r w:rsidRPr="00020319">
        <w:rPr>
          <w:rFonts w:ascii="Times New Roman" w:hAnsi="Times New Roman" w:cs="Times New Roman"/>
          <w:vertAlign w:val="subscript"/>
        </w:rPr>
        <w:t>t</w:t>
      </w:r>
      <w:r w:rsidRPr="00020319">
        <w:rPr>
          <w:rFonts w:ascii="Times New Roman" w:hAnsi="Times New Roman" w:cs="Times New Roman"/>
        </w:rPr>
        <w:t>Z</w:t>
      </w:r>
      <w:r w:rsidRPr="00020319">
        <w:rPr>
          <w:rFonts w:ascii="Times New Roman" w:hAnsi="Times New Roman" w:cs="Times New Roman"/>
          <w:vertAlign w:val="subscript"/>
        </w:rPr>
        <w:t>,t+1</w:t>
      </w:r>
      <w:r w:rsidRPr="00020319">
        <w:rPr>
          <w:rFonts w:ascii="Times New Roman" w:hAnsi="Times New Roman" w:cs="Times New Roman"/>
        </w:rPr>
        <w:t>), giving just identification</w:t>
      </w:r>
      <w:r w:rsidRPr="00020319">
        <w:rPr>
          <w:rStyle w:val="FootnoteReference"/>
          <w:rFonts w:ascii="Times New Roman" w:hAnsi="Times New Roman" w:cs="Times New Roman"/>
        </w:rPr>
        <w:footnoteReference w:id="37"/>
      </w:r>
      <w:r w:rsidRPr="00020319">
        <w:rPr>
          <w:rFonts w:ascii="Times New Roman" w:hAnsi="Times New Roman" w:cs="Times New Roman"/>
        </w:rPr>
        <w:t xml:space="preserve">.  </w:t>
      </w:r>
      <w:r w:rsidR="00FA7FE1">
        <w:rPr>
          <w:rFonts w:ascii="Times New Roman" w:hAnsi="Times New Roman" w:cs="Times New Roman"/>
        </w:rPr>
        <w:t xml:space="preserve"> The effect of time-invariant characteristics on the levels of earnings has dropped out as a consequence of differencing the data.  </w:t>
      </w:r>
      <w:r w:rsidRPr="00020319">
        <w:rPr>
          <w:rFonts w:ascii="Times New Roman" w:hAnsi="Times New Roman" w:cs="Times New Roman"/>
        </w:rPr>
        <w:t xml:space="preserve">That is, the model uses the </w:t>
      </w:r>
      <w:r w:rsidR="0054250A">
        <w:rPr>
          <w:rFonts w:ascii="Times New Roman" w:hAnsi="Times New Roman" w:cs="Times New Roman"/>
        </w:rPr>
        <w:t xml:space="preserve">level for X and </w:t>
      </w:r>
      <w:r w:rsidRPr="00020319">
        <w:rPr>
          <w:rFonts w:ascii="Times New Roman" w:hAnsi="Times New Roman" w:cs="Times New Roman"/>
        </w:rPr>
        <w:t>change in the Zs for both groups, the level of X</w:t>
      </w:r>
      <w:r w:rsidR="0054250A">
        <w:rPr>
          <w:rFonts w:ascii="Times New Roman" w:hAnsi="Times New Roman" w:cs="Times New Roman"/>
        </w:rPr>
        <w:t xml:space="preserve"> interacted with the eligibility indicator</w:t>
      </w:r>
      <w:r w:rsidRPr="00020319">
        <w:rPr>
          <w:rFonts w:ascii="Times New Roman" w:hAnsi="Times New Roman" w:cs="Times New Roman"/>
        </w:rPr>
        <w:t xml:space="preserve"> for the experimentals, and the “after” value of Z for the</w:t>
      </w:r>
      <w:r w:rsidR="008212B0">
        <w:rPr>
          <w:rFonts w:ascii="Times New Roman" w:hAnsi="Times New Roman" w:cs="Times New Roman"/>
        </w:rPr>
        <w:t xml:space="preserve"> experimentals.</w:t>
      </w:r>
    </w:p>
    <w:p w14:paraId="56D45B54" w14:textId="77777777" w:rsidR="004D642A" w:rsidRDefault="004D642A" w:rsidP="00AC6265">
      <w:pPr>
        <w:pStyle w:val="ListParagraph"/>
        <w:ind w:left="0"/>
        <w:jc w:val="both"/>
        <w:rPr>
          <w:rFonts w:ascii="Times New Roman" w:hAnsi="Times New Roman" w:cs="Times New Roman"/>
        </w:rPr>
      </w:pPr>
    </w:p>
    <w:p w14:paraId="2BC07AC9" w14:textId="5D31FFD0" w:rsidR="00D139A7" w:rsidRDefault="00CA3FCA" w:rsidP="00AC6265">
      <w:pPr>
        <w:pStyle w:val="ListParagraph"/>
        <w:ind w:left="0"/>
        <w:jc w:val="both"/>
        <w:rPr>
          <w:rFonts w:ascii="Times New Roman" w:hAnsi="Times New Roman" w:cs="Times New Roman"/>
        </w:rPr>
      </w:pPr>
      <w:r>
        <w:rPr>
          <w:rFonts w:ascii="Times New Roman" w:hAnsi="Times New Roman" w:cs="Times New Roman"/>
        </w:rPr>
        <w:t xml:space="preserve">In the event the program effect does not interact with regressors and </w:t>
      </w:r>
      <w:r w:rsidR="00806E5B">
        <w:rPr>
          <w:rFonts w:ascii="Times New Roman" w:hAnsi="Times New Roman" w:cs="Times New Roman"/>
        </w:rPr>
        <w:t xml:space="preserve">there </w:t>
      </w:r>
      <w:r>
        <w:rPr>
          <w:rFonts w:ascii="Times New Roman" w:hAnsi="Times New Roman" w:cs="Times New Roman"/>
        </w:rPr>
        <w:t xml:space="preserve">is a simple additive effect, equation 5) simplifies to </w:t>
      </w:r>
      <w:r w:rsidR="0054250A">
        <w:rPr>
          <w:rFonts w:ascii="Times New Roman" w:hAnsi="Times New Roman" w:cs="Times New Roman"/>
        </w:rPr>
        <w:t xml:space="preserve">the level for the Xs, </w:t>
      </w:r>
      <w:r>
        <w:rPr>
          <w:rFonts w:ascii="Times New Roman" w:hAnsi="Times New Roman" w:cs="Times New Roman"/>
        </w:rPr>
        <w:t xml:space="preserve">the additive program effect plus a term reflecting the change in Z.  </w:t>
      </w:r>
      <w:r w:rsidR="00003556">
        <w:rPr>
          <w:rFonts w:ascii="Times New Roman" w:hAnsi="Times New Roman" w:cs="Times New Roman"/>
        </w:rPr>
        <w:t xml:space="preserve">Using age as a time varying variable will, after differencing, result in an intercept term in the differences regression.  </w:t>
      </w:r>
      <w:r w:rsidR="004D642A">
        <w:rPr>
          <w:rFonts w:ascii="Times New Roman" w:hAnsi="Times New Roman" w:cs="Times New Roman"/>
        </w:rPr>
        <w:t>Testing out a variety of demographic variables in the difference-in-difference</w:t>
      </w:r>
      <w:r w:rsidR="00B22F22">
        <w:rPr>
          <w:rFonts w:ascii="Times New Roman" w:hAnsi="Times New Roman" w:cs="Times New Roman"/>
        </w:rPr>
        <w:t>s</w:t>
      </w:r>
      <w:r w:rsidR="004D642A">
        <w:rPr>
          <w:rFonts w:ascii="Times New Roman" w:hAnsi="Times New Roman" w:cs="Times New Roman"/>
        </w:rPr>
        <w:t xml:space="preserve"> equation </w:t>
      </w:r>
      <w:r w:rsidR="00806E5B">
        <w:rPr>
          <w:rFonts w:ascii="Times New Roman" w:hAnsi="Times New Roman" w:cs="Times New Roman"/>
        </w:rPr>
        <w:t>avoids misattributing different earnings growth for eligibles vs ineligibles to program effects when the difference is due to differences in characteristics that have an effect on earnings growth.</w:t>
      </w:r>
    </w:p>
    <w:p w14:paraId="12333F9F" w14:textId="77777777" w:rsidR="00D139A7" w:rsidRDefault="00D139A7" w:rsidP="00AC6265">
      <w:pPr>
        <w:pStyle w:val="ListParagraph"/>
        <w:ind w:left="0"/>
        <w:jc w:val="both"/>
        <w:rPr>
          <w:rFonts w:ascii="Times New Roman" w:hAnsi="Times New Roman" w:cs="Times New Roman"/>
        </w:rPr>
      </w:pPr>
    </w:p>
    <w:p w14:paraId="531C7EFE" w14:textId="15F8AC1E" w:rsidR="00020319" w:rsidRPr="00020319" w:rsidRDefault="00020319" w:rsidP="00AC6265">
      <w:pPr>
        <w:pStyle w:val="ListParagraph"/>
        <w:ind w:left="0"/>
        <w:jc w:val="both"/>
        <w:rPr>
          <w:rFonts w:ascii="Times New Roman" w:hAnsi="Times New Roman" w:cs="Times New Roman"/>
        </w:rPr>
      </w:pPr>
      <w:r w:rsidRPr="00020319">
        <w:rPr>
          <w:rFonts w:ascii="Times New Roman" w:hAnsi="Times New Roman" w:cs="Times New Roman"/>
        </w:rPr>
        <w:t xml:space="preserve">The primary question </w:t>
      </w:r>
      <w:r w:rsidR="00CA3FCA">
        <w:rPr>
          <w:rFonts w:ascii="Times New Roman" w:hAnsi="Times New Roman" w:cs="Times New Roman"/>
        </w:rPr>
        <w:t>we want to answer</w:t>
      </w:r>
      <w:r w:rsidRPr="00020319">
        <w:rPr>
          <w:rFonts w:ascii="Times New Roman" w:hAnsi="Times New Roman" w:cs="Times New Roman"/>
        </w:rPr>
        <w:t xml:space="preserve"> is whether the intervention has an overall impact.  It is not essential to determine whether the program impact differs by demographic characteristic.</w:t>
      </w:r>
    </w:p>
    <w:p w14:paraId="0740B403" w14:textId="77777777" w:rsidR="00020319" w:rsidRPr="00020319" w:rsidRDefault="00020319" w:rsidP="00AC6265">
      <w:pPr>
        <w:pStyle w:val="ListParagraph"/>
        <w:spacing w:line="276" w:lineRule="auto"/>
        <w:ind w:left="0"/>
        <w:jc w:val="both"/>
        <w:rPr>
          <w:rFonts w:ascii="Times New Roman" w:hAnsi="Times New Roman" w:cs="Times New Roman"/>
        </w:rPr>
      </w:pPr>
    </w:p>
    <w:p w14:paraId="5846937B" w14:textId="0709AE0F" w:rsidR="00020319" w:rsidRPr="00020319" w:rsidRDefault="00020319" w:rsidP="00AC6265">
      <w:pPr>
        <w:pStyle w:val="ListParagraph"/>
        <w:ind w:left="0"/>
        <w:jc w:val="both"/>
        <w:rPr>
          <w:rFonts w:ascii="Times New Roman" w:hAnsi="Times New Roman" w:cs="Times New Roman"/>
        </w:rPr>
      </w:pPr>
      <w:r w:rsidRPr="00020319">
        <w:rPr>
          <w:rFonts w:ascii="Times New Roman" w:hAnsi="Times New Roman" w:cs="Times New Roman"/>
        </w:rPr>
        <w:t xml:space="preserve">Sometimes people raise a concern over missing data and </w:t>
      </w:r>
      <w:r w:rsidR="00806E5B">
        <w:rPr>
          <w:rFonts w:ascii="Times New Roman" w:hAnsi="Times New Roman" w:cs="Times New Roman"/>
        </w:rPr>
        <w:t>the possibility the observed data points differ systematically from the unobserved data points</w:t>
      </w:r>
      <w:r w:rsidRPr="00020319">
        <w:rPr>
          <w:rFonts w:ascii="Times New Roman" w:hAnsi="Times New Roman" w:cs="Times New Roman"/>
        </w:rPr>
        <w:t xml:space="preserve">.  The primary data for the outcome evaluation are administrative data from the UI earnings file, </w:t>
      </w:r>
      <w:r w:rsidR="00884512">
        <w:rPr>
          <w:rFonts w:ascii="Times New Roman" w:hAnsi="Times New Roman" w:cs="Times New Roman"/>
        </w:rPr>
        <w:t xml:space="preserve">the </w:t>
      </w:r>
      <w:r w:rsidRPr="00020319">
        <w:rPr>
          <w:rFonts w:ascii="Times New Roman" w:hAnsi="Times New Roman" w:cs="Times New Roman"/>
        </w:rPr>
        <w:t xml:space="preserve">CCMEP enrollment process, </w:t>
      </w:r>
      <w:r w:rsidR="00884512">
        <w:rPr>
          <w:rFonts w:ascii="Times New Roman" w:hAnsi="Times New Roman" w:cs="Times New Roman"/>
        </w:rPr>
        <w:t xml:space="preserve">and </w:t>
      </w:r>
      <w:r w:rsidRPr="00020319">
        <w:rPr>
          <w:rFonts w:ascii="Times New Roman" w:hAnsi="Times New Roman" w:cs="Times New Roman"/>
        </w:rPr>
        <w:t xml:space="preserve">TANF and SNAP program data.  </w:t>
      </w:r>
      <w:r w:rsidR="00806E5B">
        <w:rPr>
          <w:rFonts w:ascii="Times New Roman" w:hAnsi="Times New Roman" w:cs="Times New Roman"/>
        </w:rPr>
        <w:t>These administrative files mean our observations on CCMEP people</w:t>
      </w:r>
      <w:r w:rsidR="00BF7AB9">
        <w:rPr>
          <w:rFonts w:ascii="Times New Roman" w:hAnsi="Times New Roman" w:cs="Times New Roman"/>
        </w:rPr>
        <w:t xml:space="preserve"> cover that universe, not a sample.  </w:t>
      </w:r>
      <w:r w:rsidRPr="00020319">
        <w:rPr>
          <w:rFonts w:ascii="Times New Roman" w:hAnsi="Times New Roman" w:cs="Times New Roman"/>
        </w:rPr>
        <w:t>Not having an earnings record in the UI file means that, apart fr</w:t>
      </w:r>
      <w:r w:rsidR="00BF7AB9">
        <w:rPr>
          <w:rFonts w:ascii="Times New Roman" w:hAnsi="Times New Roman" w:cs="Times New Roman"/>
        </w:rPr>
        <w:t>om</w:t>
      </w:r>
      <w:r w:rsidRPr="00020319">
        <w:rPr>
          <w:rFonts w:ascii="Times New Roman" w:hAnsi="Times New Roman" w:cs="Times New Roman"/>
        </w:rPr>
        <w:t xml:space="preserve"> informal work, the person has no regular employment earnings.</w:t>
      </w:r>
      <w:r w:rsidR="00D139A7">
        <w:rPr>
          <w:rStyle w:val="FootnoteReference"/>
          <w:rFonts w:ascii="Times New Roman" w:hAnsi="Times New Roman" w:cs="Times New Roman"/>
        </w:rPr>
        <w:footnoteReference w:id="38"/>
      </w:r>
      <w:r w:rsidRPr="00020319">
        <w:rPr>
          <w:rFonts w:ascii="Times New Roman" w:hAnsi="Times New Roman" w:cs="Times New Roman"/>
        </w:rPr>
        <w:t xml:space="preserve">  We </w:t>
      </w:r>
      <w:r w:rsidR="00BF7AB9">
        <w:rPr>
          <w:rFonts w:ascii="Times New Roman" w:hAnsi="Times New Roman" w:cs="Times New Roman"/>
        </w:rPr>
        <w:t>also</w:t>
      </w:r>
      <w:r w:rsidRPr="00020319">
        <w:rPr>
          <w:rFonts w:ascii="Times New Roman" w:hAnsi="Times New Roman" w:cs="Times New Roman"/>
        </w:rPr>
        <w:t xml:space="preserve"> collect</w:t>
      </w:r>
      <w:r w:rsidR="00BF7AB9">
        <w:rPr>
          <w:rFonts w:ascii="Times New Roman" w:hAnsi="Times New Roman" w:cs="Times New Roman"/>
        </w:rPr>
        <w:t>ed</w:t>
      </w:r>
      <w:r w:rsidRPr="00020319">
        <w:rPr>
          <w:rFonts w:ascii="Times New Roman" w:hAnsi="Times New Roman" w:cs="Times New Roman"/>
        </w:rPr>
        <w:t xml:space="preserve"> survey data on wage rates</w:t>
      </w:r>
      <w:r w:rsidR="00BF7AB9">
        <w:rPr>
          <w:rFonts w:ascii="Times New Roman" w:hAnsi="Times New Roman" w:cs="Times New Roman"/>
        </w:rPr>
        <w:t>, occupation</w:t>
      </w:r>
      <w:r w:rsidRPr="00020319">
        <w:rPr>
          <w:rFonts w:ascii="Times New Roman" w:hAnsi="Times New Roman" w:cs="Times New Roman"/>
        </w:rPr>
        <w:t xml:space="preserve"> and hours worked.  The scope for selection</w:t>
      </w:r>
      <w:r w:rsidR="00BF7AB9">
        <w:rPr>
          <w:rFonts w:ascii="Times New Roman" w:hAnsi="Times New Roman" w:cs="Times New Roman"/>
        </w:rPr>
        <w:t xml:space="preserve"> bias</w:t>
      </w:r>
      <w:r w:rsidRPr="00020319">
        <w:rPr>
          <w:rFonts w:ascii="Times New Roman" w:hAnsi="Times New Roman" w:cs="Times New Roman"/>
        </w:rPr>
        <w:t xml:space="preserve"> in the survey earnings data is small.  The reason the scope for being misled by selection on the survey collected is highly limited is that we have high</w:t>
      </w:r>
      <w:r w:rsidR="004D09FF">
        <w:rPr>
          <w:rFonts w:ascii="Times New Roman" w:hAnsi="Times New Roman" w:cs="Times New Roman"/>
        </w:rPr>
        <w:t>-</w:t>
      </w:r>
      <w:r w:rsidRPr="00020319">
        <w:rPr>
          <w:rFonts w:ascii="Times New Roman" w:hAnsi="Times New Roman" w:cs="Times New Roman"/>
        </w:rPr>
        <w:t>quality earnings data from the UI insurance program.  The essence of the selection problem is that the missing data may disproportionately come from one tail or the other of the earnings distribution.   While wages and hours may be missing, earnings will always be observed.</w:t>
      </w:r>
    </w:p>
    <w:p w14:paraId="2694BEF6" w14:textId="77777777" w:rsidR="00020319" w:rsidRPr="00020319" w:rsidRDefault="00020319" w:rsidP="00AC6265">
      <w:pPr>
        <w:pStyle w:val="ListParagraph"/>
        <w:ind w:left="0"/>
        <w:jc w:val="both"/>
        <w:rPr>
          <w:rFonts w:ascii="Times New Roman" w:hAnsi="Times New Roman" w:cs="Times New Roman"/>
        </w:rPr>
      </w:pPr>
    </w:p>
    <w:p w14:paraId="336E9EB6" w14:textId="77777777" w:rsidR="00020319" w:rsidRPr="00003556" w:rsidRDefault="00020319" w:rsidP="00AC6265">
      <w:pPr>
        <w:pStyle w:val="ListParagraph"/>
        <w:ind w:left="0"/>
        <w:jc w:val="both"/>
        <w:rPr>
          <w:rFonts w:ascii="Times New Roman" w:hAnsi="Times New Roman" w:cs="Times New Roman"/>
        </w:rPr>
      </w:pPr>
      <w:r w:rsidRPr="00020319">
        <w:rPr>
          <w:rFonts w:ascii="Times New Roman" w:hAnsi="Times New Roman" w:cs="Times New Roman"/>
        </w:rPr>
        <w:lastRenderedPageBreak/>
        <w:t>Factors that are time invariant and do not differentially modify the program effect are differenced out of the analysis.  Thus interpersonal differences (whether observable or not), so long as they do not affect how the program functions</w:t>
      </w:r>
      <w:r w:rsidR="00BF7AB9">
        <w:rPr>
          <w:rFonts w:ascii="Times New Roman" w:hAnsi="Times New Roman" w:cs="Times New Roman"/>
        </w:rPr>
        <w:t xml:space="preserve"> or the extent to which earnings grow</w:t>
      </w:r>
      <w:r w:rsidRPr="00020319">
        <w:rPr>
          <w:rFonts w:ascii="Times New Roman" w:hAnsi="Times New Roman" w:cs="Times New Roman"/>
        </w:rPr>
        <w:t xml:space="preserve">, are inessential.  </w:t>
      </w:r>
      <w:r w:rsidR="00003556">
        <w:rPr>
          <w:rFonts w:ascii="Times New Roman" w:hAnsi="Times New Roman" w:cs="Times New Roman"/>
        </w:rPr>
        <w:t xml:space="preserve">We see below that time-invariant characteristics survive in the difference-in-difference earnings model (as well as regressions for the change in weeks and the change in number of employers).  Measures of disadvantage don’t simply explain a different </w:t>
      </w:r>
      <w:r w:rsidR="00003556">
        <w:rPr>
          <w:rFonts w:ascii="Times New Roman" w:hAnsi="Times New Roman" w:cs="Times New Roman"/>
          <w:i/>
        </w:rPr>
        <w:t xml:space="preserve">level </w:t>
      </w:r>
      <w:r w:rsidR="00003556">
        <w:rPr>
          <w:rFonts w:ascii="Times New Roman" w:hAnsi="Times New Roman" w:cs="Times New Roman"/>
        </w:rPr>
        <w:t xml:space="preserve">in labor market outcomes but explain </w:t>
      </w:r>
      <w:r w:rsidR="006359C4">
        <w:rPr>
          <w:rFonts w:ascii="Times New Roman" w:hAnsi="Times New Roman" w:cs="Times New Roman"/>
        </w:rPr>
        <w:t>variation in how these outcomes change over time.</w:t>
      </w:r>
    </w:p>
    <w:p w14:paraId="35CB8090" w14:textId="77777777" w:rsidR="003110C1" w:rsidRDefault="003110C1" w:rsidP="007877C2">
      <w:pPr>
        <w:pStyle w:val="Heading5"/>
        <w:ind w:left="720"/>
        <w:rPr>
          <w:rFonts w:ascii="Times New Roman" w:hAnsi="Times New Roman" w:cs="Times New Roman"/>
          <w:u w:val="single"/>
        </w:rPr>
      </w:pPr>
      <w:r w:rsidRPr="007877C2">
        <w:rPr>
          <w:rFonts w:ascii="Times New Roman" w:hAnsi="Times New Roman" w:cs="Times New Roman"/>
          <w:u w:val="single"/>
        </w:rPr>
        <w:t>Universe vs Sampling; Completeness of Data</w:t>
      </w:r>
    </w:p>
    <w:p w14:paraId="5B0FE2FC" w14:textId="29AA4FCA" w:rsidR="001F047C" w:rsidRDefault="001F047C" w:rsidP="00AC6265">
      <w:pPr>
        <w:pStyle w:val="ListParagraph"/>
        <w:ind w:left="0"/>
        <w:jc w:val="both"/>
        <w:rPr>
          <w:rFonts w:ascii="Times New Roman" w:hAnsi="Times New Roman" w:cs="Times New Roman"/>
        </w:rPr>
      </w:pPr>
      <w:r w:rsidRPr="001F047C">
        <w:rPr>
          <w:rFonts w:ascii="Times New Roman" w:hAnsi="Times New Roman" w:cs="Times New Roman"/>
        </w:rPr>
        <w:t xml:space="preserve">Program evaluations that </w:t>
      </w:r>
      <w:r>
        <w:rPr>
          <w:rFonts w:ascii="Times New Roman" w:hAnsi="Times New Roman" w:cs="Times New Roman"/>
        </w:rPr>
        <w:t xml:space="preserve">depend upon survey data suffer from nonresponse, which plagues all survey efforts, not just those used to support evaluation research.  Our efforts here take a different approach.  </w:t>
      </w:r>
      <w:r w:rsidR="004138B7">
        <w:rPr>
          <w:rFonts w:ascii="Times New Roman" w:hAnsi="Times New Roman" w:cs="Times New Roman"/>
        </w:rPr>
        <w:t>We have used administrative data for all youths presenting for the CCMEP program and have used data on these persons from TANF and SNAP, UI Earnings data (including jobs held and weeks worked on various jobs), background data from their program application, demographics from Ohio Driver</w:t>
      </w:r>
      <w:r w:rsidR="005834E6">
        <w:rPr>
          <w:rFonts w:ascii="Times New Roman" w:hAnsi="Times New Roman" w:cs="Times New Roman"/>
        </w:rPr>
        <w:t>’</w:t>
      </w:r>
      <w:r w:rsidR="004138B7">
        <w:rPr>
          <w:rFonts w:ascii="Times New Roman" w:hAnsi="Times New Roman" w:cs="Times New Roman"/>
        </w:rPr>
        <w:t>s License and State ID data, PIRL data reported to the U.S. Department of Labor and</w:t>
      </w:r>
      <w:r w:rsidR="00CC38A7">
        <w:rPr>
          <w:rFonts w:ascii="Times New Roman" w:hAnsi="Times New Roman" w:cs="Times New Roman"/>
        </w:rPr>
        <w:t>,</w:t>
      </w:r>
      <w:r w:rsidR="004138B7">
        <w:rPr>
          <w:rFonts w:ascii="Times New Roman" w:hAnsi="Times New Roman" w:cs="Times New Roman"/>
        </w:rPr>
        <w:t xml:space="preserve"> finally</w:t>
      </w:r>
      <w:r w:rsidR="00CC38A7">
        <w:rPr>
          <w:rFonts w:ascii="Times New Roman" w:hAnsi="Times New Roman" w:cs="Times New Roman"/>
        </w:rPr>
        <w:t>,</w:t>
      </w:r>
      <w:r w:rsidR="004138B7">
        <w:rPr>
          <w:rFonts w:ascii="Times New Roman" w:hAnsi="Times New Roman" w:cs="Times New Roman"/>
        </w:rPr>
        <w:t xml:space="preserve"> constructed labor market indicators computed based on UI Earnings data for youths not in CCMEP and, who like the great majority of CCMEP youth, have had not post-secondary education or training.</w:t>
      </w:r>
    </w:p>
    <w:p w14:paraId="0B83D31D" w14:textId="77777777" w:rsidR="004138B7" w:rsidRDefault="004138B7" w:rsidP="00AC6265">
      <w:pPr>
        <w:pStyle w:val="ListParagraph"/>
        <w:ind w:left="0"/>
        <w:jc w:val="both"/>
        <w:rPr>
          <w:rFonts w:ascii="Times New Roman" w:hAnsi="Times New Roman" w:cs="Times New Roman"/>
        </w:rPr>
      </w:pPr>
    </w:p>
    <w:p w14:paraId="5B46B2C9" w14:textId="77777777" w:rsidR="004138B7" w:rsidRPr="001F047C" w:rsidRDefault="004138B7" w:rsidP="00AC6265">
      <w:pPr>
        <w:pStyle w:val="ListParagraph"/>
        <w:ind w:left="0"/>
        <w:jc w:val="both"/>
        <w:rPr>
          <w:rFonts w:ascii="Times New Roman" w:hAnsi="Times New Roman" w:cs="Times New Roman"/>
        </w:rPr>
      </w:pPr>
      <w:r>
        <w:rPr>
          <w:rFonts w:ascii="Times New Roman" w:hAnsi="Times New Roman" w:cs="Times New Roman"/>
        </w:rPr>
        <w:t>As a consequence, these data will be very complete although not perfect.  We will not lose observations because of sampling, although there are occasional missing data due to minor incompleteness in the administrative data.</w:t>
      </w:r>
    </w:p>
    <w:p w14:paraId="4245AC26" w14:textId="77777777" w:rsidR="00323FE6" w:rsidRDefault="00323FE6" w:rsidP="00323FE6">
      <w:pPr>
        <w:pStyle w:val="Heading5"/>
        <w:ind w:left="720"/>
        <w:rPr>
          <w:rFonts w:ascii="Times New Roman" w:hAnsi="Times New Roman" w:cs="Times New Roman"/>
          <w:u w:val="single"/>
        </w:rPr>
      </w:pPr>
      <w:r w:rsidRPr="00323FE6">
        <w:rPr>
          <w:rFonts w:ascii="Times New Roman" w:hAnsi="Times New Roman" w:cs="Times New Roman"/>
          <w:u w:val="single"/>
        </w:rPr>
        <w:t>Data and Results</w:t>
      </w:r>
    </w:p>
    <w:p w14:paraId="05EA1390" w14:textId="2D457FD3" w:rsidR="00B851DA" w:rsidRDefault="00B851DA" w:rsidP="00AC6265">
      <w:pPr>
        <w:pStyle w:val="ListParagraph"/>
        <w:ind w:left="0"/>
        <w:jc w:val="both"/>
        <w:rPr>
          <w:rFonts w:ascii="Times New Roman" w:hAnsi="Times New Roman" w:cs="Times New Roman"/>
        </w:rPr>
      </w:pPr>
      <w:r w:rsidRPr="00B851DA">
        <w:rPr>
          <w:rFonts w:ascii="Times New Roman" w:hAnsi="Times New Roman" w:cs="Times New Roman"/>
        </w:rPr>
        <w:t xml:space="preserve">In Table </w:t>
      </w:r>
      <w:r w:rsidR="00883191">
        <w:rPr>
          <w:rFonts w:ascii="Times New Roman" w:hAnsi="Times New Roman" w:cs="Times New Roman"/>
        </w:rPr>
        <w:t>9</w:t>
      </w:r>
      <w:r w:rsidRPr="00B851DA">
        <w:rPr>
          <w:rFonts w:ascii="Times New Roman" w:hAnsi="Times New Roman" w:cs="Times New Roman"/>
        </w:rPr>
        <w:t xml:space="preserve">, we list the variables we use in the difference-in-difference regressions.  </w:t>
      </w:r>
      <w:r>
        <w:rPr>
          <w:rFonts w:ascii="Times New Roman" w:hAnsi="Times New Roman" w:cs="Times New Roman"/>
        </w:rPr>
        <w:t>None of the variables varies over time within the limits of our measurement.</w:t>
      </w:r>
    </w:p>
    <w:p w14:paraId="7FFD220C" w14:textId="77777777" w:rsidR="0040030B" w:rsidRDefault="0040030B" w:rsidP="00AC6265">
      <w:pPr>
        <w:pStyle w:val="ListParagraph"/>
        <w:ind w:left="0"/>
        <w:jc w:val="both"/>
        <w:rPr>
          <w:rFonts w:ascii="Times New Roman" w:hAnsi="Times New Roman" w:cs="Times New Roman"/>
        </w:rPr>
      </w:pPr>
    </w:p>
    <w:p w14:paraId="2D10230B" w14:textId="065E4723" w:rsidR="0040030B" w:rsidRDefault="0040030B" w:rsidP="0040030B">
      <w:pPr>
        <w:pStyle w:val="ListParagraph"/>
        <w:ind w:left="0"/>
        <w:jc w:val="center"/>
        <w:rPr>
          <w:rFonts w:ascii="Times New Roman" w:hAnsi="Times New Roman" w:cs="Times New Roman"/>
        </w:rPr>
      </w:pPr>
      <w:r>
        <w:rPr>
          <w:rFonts w:ascii="Times New Roman" w:hAnsi="Times New Roman" w:cs="Times New Roman"/>
        </w:rPr>
        <w:t xml:space="preserve">Table </w:t>
      </w:r>
      <w:r w:rsidR="00883191">
        <w:rPr>
          <w:rFonts w:ascii="Times New Roman" w:hAnsi="Times New Roman" w:cs="Times New Roman"/>
        </w:rPr>
        <w:t>9</w:t>
      </w:r>
    </w:p>
    <w:p w14:paraId="5F1D1A10" w14:textId="77777777" w:rsidR="0040030B" w:rsidRDefault="0040030B" w:rsidP="0040030B">
      <w:pPr>
        <w:pStyle w:val="ListParagraph"/>
        <w:ind w:left="0"/>
        <w:jc w:val="center"/>
        <w:rPr>
          <w:rFonts w:ascii="Times New Roman" w:hAnsi="Times New Roman" w:cs="Times New Roman"/>
        </w:rPr>
      </w:pPr>
      <w:r>
        <w:rPr>
          <w:rFonts w:ascii="Times New Roman" w:hAnsi="Times New Roman" w:cs="Times New Roman"/>
        </w:rPr>
        <w:t>Variables in the Analysis</w:t>
      </w:r>
    </w:p>
    <w:p w14:paraId="7A7DB312" w14:textId="77777777" w:rsidR="0040030B" w:rsidRDefault="0040030B" w:rsidP="0040030B">
      <w:pPr>
        <w:pStyle w:val="ListParagraph"/>
        <w:ind w:left="0"/>
        <w:jc w:val="center"/>
        <w:rPr>
          <w:rFonts w:ascii="Times New Roman" w:hAnsi="Times New Roman" w:cs="Times New Roman"/>
        </w:rPr>
      </w:pPr>
    </w:p>
    <w:tbl>
      <w:tblPr>
        <w:tblStyle w:val="TableGrid"/>
        <w:tblW w:w="0" w:type="auto"/>
        <w:tblLook w:val="04A0" w:firstRow="1" w:lastRow="0" w:firstColumn="1" w:lastColumn="0" w:noHBand="0" w:noVBand="1"/>
        <w:tblCaption w:val="Regressors used in the Analysis"/>
        <w:tblDescription w:val="Gives description for the various regressors used"/>
      </w:tblPr>
      <w:tblGrid>
        <w:gridCol w:w="1525"/>
        <w:gridCol w:w="7825"/>
      </w:tblGrid>
      <w:tr w:rsidR="0040030B" w14:paraId="6CBDFF95" w14:textId="77777777" w:rsidTr="0031247E">
        <w:trPr>
          <w:tblHeader/>
        </w:trPr>
        <w:tc>
          <w:tcPr>
            <w:tcW w:w="1525" w:type="dxa"/>
          </w:tcPr>
          <w:p w14:paraId="434BC2E2" w14:textId="77777777" w:rsidR="0040030B" w:rsidRDefault="0040030B" w:rsidP="0040030B">
            <w:pPr>
              <w:pStyle w:val="ListParagraph"/>
              <w:ind w:left="0"/>
              <w:jc w:val="center"/>
              <w:rPr>
                <w:rFonts w:ascii="Times New Roman" w:hAnsi="Times New Roman" w:cs="Times New Roman"/>
              </w:rPr>
            </w:pPr>
            <w:r>
              <w:rPr>
                <w:rFonts w:ascii="Times New Roman" w:hAnsi="Times New Roman" w:cs="Times New Roman"/>
              </w:rPr>
              <w:t>Variable</w:t>
            </w:r>
          </w:p>
        </w:tc>
        <w:tc>
          <w:tcPr>
            <w:tcW w:w="7825" w:type="dxa"/>
          </w:tcPr>
          <w:p w14:paraId="4C802FFE" w14:textId="77777777" w:rsidR="0040030B" w:rsidRDefault="0040030B" w:rsidP="0040030B">
            <w:pPr>
              <w:pStyle w:val="ListParagraph"/>
              <w:ind w:left="0"/>
              <w:jc w:val="center"/>
              <w:rPr>
                <w:rFonts w:ascii="Times New Roman" w:hAnsi="Times New Roman" w:cs="Times New Roman"/>
              </w:rPr>
            </w:pPr>
            <w:r>
              <w:rPr>
                <w:rFonts w:ascii="Times New Roman" w:hAnsi="Times New Roman" w:cs="Times New Roman"/>
              </w:rPr>
              <w:t>Explanation</w:t>
            </w:r>
          </w:p>
        </w:tc>
      </w:tr>
      <w:tr w:rsidR="0040030B" w14:paraId="4B620BBA" w14:textId="77777777" w:rsidTr="0040030B">
        <w:tc>
          <w:tcPr>
            <w:tcW w:w="1525" w:type="dxa"/>
          </w:tcPr>
          <w:p w14:paraId="5002EEF0" w14:textId="77777777" w:rsidR="0040030B" w:rsidRDefault="0040030B" w:rsidP="0040030B">
            <w:pPr>
              <w:pStyle w:val="ListParagraph"/>
              <w:ind w:left="0"/>
              <w:rPr>
                <w:rFonts w:ascii="Times New Roman" w:hAnsi="Times New Roman" w:cs="Times New Roman"/>
              </w:rPr>
            </w:pPr>
            <w:r>
              <w:rPr>
                <w:rFonts w:ascii="Times New Roman" w:hAnsi="Times New Roman" w:cs="Times New Roman"/>
              </w:rPr>
              <w:t>Earnings</w:t>
            </w:r>
          </w:p>
        </w:tc>
        <w:tc>
          <w:tcPr>
            <w:tcW w:w="7825" w:type="dxa"/>
          </w:tcPr>
          <w:p w14:paraId="1B95581D" w14:textId="77777777" w:rsidR="00AA1652" w:rsidRDefault="00AA1652" w:rsidP="0040030B">
            <w:pPr>
              <w:pStyle w:val="ListParagraph"/>
              <w:ind w:left="0"/>
              <w:rPr>
                <w:rFonts w:ascii="Times New Roman" w:hAnsi="Times New Roman" w:cs="Times New Roman"/>
              </w:rPr>
            </w:pPr>
            <w:r>
              <w:rPr>
                <w:rFonts w:ascii="Times New Roman" w:hAnsi="Times New Roman" w:cs="Times New Roman"/>
              </w:rPr>
              <w:t>Based on UI data.  We use four consecutive quarters for both the pre- and post-onset periods.  When using the log of earnings, we discard observations with zeroes.</w:t>
            </w:r>
          </w:p>
        </w:tc>
      </w:tr>
      <w:tr w:rsidR="0040030B" w14:paraId="2866EC8C" w14:textId="77777777" w:rsidTr="0040030B">
        <w:tc>
          <w:tcPr>
            <w:tcW w:w="1525" w:type="dxa"/>
          </w:tcPr>
          <w:p w14:paraId="0B68CB72" w14:textId="77777777" w:rsidR="0040030B" w:rsidRDefault="00AA1652" w:rsidP="0040030B">
            <w:pPr>
              <w:pStyle w:val="ListParagraph"/>
              <w:ind w:left="0"/>
              <w:rPr>
                <w:rFonts w:ascii="Times New Roman" w:hAnsi="Times New Roman" w:cs="Times New Roman"/>
              </w:rPr>
            </w:pPr>
            <w:r>
              <w:rPr>
                <w:rFonts w:ascii="Times New Roman" w:hAnsi="Times New Roman" w:cs="Times New Roman"/>
              </w:rPr>
              <w:t>Weeks Worked</w:t>
            </w:r>
          </w:p>
        </w:tc>
        <w:tc>
          <w:tcPr>
            <w:tcW w:w="7825" w:type="dxa"/>
          </w:tcPr>
          <w:p w14:paraId="4E5184F8" w14:textId="77777777" w:rsidR="0040030B" w:rsidRDefault="00AA1652" w:rsidP="0040030B">
            <w:pPr>
              <w:pStyle w:val="ListParagraph"/>
              <w:ind w:left="0"/>
              <w:rPr>
                <w:rFonts w:ascii="Times New Roman" w:hAnsi="Times New Roman" w:cs="Times New Roman"/>
              </w:rPr>
            </w:pPr>
            <w:r>
              <w:rPr>
                <w:rFonts w:ascii="Times New Roman" w:hAnsi="Times New Roman" w:cs="Times New Roman"/>
              </w:rPr>
              <w:t xml:space="preserve">Based on UI data.  This variable will be very accurate for persons with a single employer during a quarter.  For multiple job-holders during a quarter, the number is the maximum number of weeks the person could have worked.  We also use four consecutive quarters for this variable. </w:t>
            </w:r>
          </w:p>
        </w:tc>
      </w:tr>
      <w:tr w:rsidR="0040030B" w14:paraId="2A902C73" w14:textId="77777777" w:rsidTr="0040030B">
        <w:tc>
          <w:tcPr>
            <w:tcW w:w="1525" w:type="dxa"/>
          </w:tcPr>
          <w:p w14:paraId="0F8D7128" w14:textId="77777777" w:rsidR="0040030B" w:rsidRDefault="00AA1652" w:rsidP="0040030B">
            <w:pPr>
              <w:pStyle w:val="ListParagraph"/>
              <w:ind w:left="0"/>
              <w:rPr>
                <w:rFonts w:ascii="Times New Roman" w:hAnsi="Times New Roman" w:cs="Times New Roman"/>
              </w:rPr>
            </w:pPr>
            <w:r>
              <w:rPr>
                <w:rFonts w:ascii="Times New Roman" w:hAnsi="Times New Roman" w:cs="Times New Roman"/>
              </w:rPr>
              <w:t>Number of Employers</w:t>
            </w:r>
          </w:p>
        </w:tc>
        <w:tc>
          <w:tcPr>
            <w:tcW w:w="7825" w:type="dxa"/>
          </w:tcPr>
          <w:p w14:paraId="403ACB25" w14:textId="77777777" w:rsidR="0040030B" w:rsidRDefault="00AA1652" w:rsidP="0040030B">
            <w:pPr>
              <w:pStyle w:val="ListParagraph"/>
              <w:ind w:left="0"/>
              <w:rPr>
                <w:rFonts w:ascii="Times New Roman" w:hAnsi="Times New Roman" w:cs="Times New Roman"/>
              </w:rPr>
            </w:pPr>
            <w:r>
              <w:rPr>
                <w:rFonts w:ascii="Times New Roman" w:hAnsi="Times New Roman" w:cs="Times New Roman"/>
              </w:rPr>
              <w:t>Based on UI data.  This variable is very accurate for covered employment.  In the analysis we sum this number for four consecutive quarters, giving the number of employer-quarters during the pre- and post-onset periods.</w:t>
            </w:r>
          </w:p>
        </w:tc>
      </w:tr>
      <w:tr w:rsidR="0040030B" w14:paraId="762C5741" w14:textId="77777777" w:rsidTr="0040030B">
        <w:tc>
          <w:tcPr>
            <w:tcW w:w="1525" w:type="dxa"/>
          </w:tcPr>
          <w:p w14:paraId="780601BA" w14:textId="77777777" w:rsidR="0040030B" w:rsidRDefault="00CA4B70" w:rsidP="0040030B">
            <w:pPr>
              <w:pStyle w:val="ListParagraph"/>
              <w:ind w:left="0"/>
              <w:rPr>
                <w:rFonts w:ascii="Times New Roman" w:hAnsi="Times New Roman" w:cs="Times New Roman"/>
              </w:rPr>
            </w:pPr>
            <w:r>
              <w:rPr>
                <w:rFonts w:ascii="Times New Roman" w:hAnsi="Times New Roman" w:cs="Times New Roman"/>
              </w:rPr>
              <w:t>Number Months TANF</w:t>
            </w:r>
          </w:p>
        </w:tc>
        <w:tc>
          <w:tcPr>
            <w:tcW w:w="7825" w:type="dxa"/>
          </w:tcPr>
          <w:p w14:paraId="197D477D" w14:textId="77777777" w:rsidR="0040030B" w:rsidRDefault="00CA4B70" w:rsidP="00CA4B70">
            <w:pPr>
              <w:pStyle w:val="ListParagraph"/>
              <w:ind w:left="0"/>
              <w:rPr>
                <w:rFonts w:ascii="Times New Roman" w:hAnsi="Times New Roman" w:cs="Times New Roman"/>
              </w:rPr>
            </w:pPr>
            <w:r>
              <w:rPr>
                <w:rFonts w:ascii="Times New Roman" w:hAnsi="Times New Roman" w:cs="Times New Roman"/>
              </w:rPr>
              <w:t>Based on TANF/SNAP data.  This variable is very accurate, coming from payments data.  It shows the number of months the person either directly received TANF payments or counted as an assistance group member and thereby increased payments for the actual payee.  We take this as a measure of cumulative disadvantage.</w:t>
            </w:r>
          </w:p>
        </w:tc>
      </w:tr>
      <w:tr w:rsidR="0040030B" w14:paraId="193D4443" w14:textId="77777777" w:rsidTr="0040030B">
        <w:tc>
          <w:tcPr>
            <w:tcW w:w="1525" w:type="dxa"/>
          </w:tcPr>
          <w:p w14:paraId="1E1C5871" w14:textId="77777777" w:rsidR="0040030B" w:rsidRDefault="00CA4B70" w:rsidP="00CA4B70">
            <w:pPr>
              <w:pStyle w:val="ListParagraph"/>
              <w:ind w:left="0"/>
              <w:rPr>
                <w:rFonts w:ascii="Times New Roman" w:hAnsi="Times New Roman" w:cs="Times New Roman"/>
              </w:rPr>
            </w:pPr>
            <w:r>
              <w:rPr>
                <w:rFonts w:ascii="Times New Roman" w:hAnsi="Times New Roman" w:cs="Times New Roman"/>
              </w:rPr>
              <w:t>Number Months SNAP</w:t>
            </w:r>
          </w:p>
        </w:tc>
        <w:tc>
          <w:tcPr>
            <w:tcW w:w="7825" w:type="dxa"/>
          </w:tcPr>
          <w:p w14:paraId="4079BC65" w14:textId="77777777" w:rsidR="0040030B" w:rsidRDefault="00CA4B70" w:rsidP="006359C4">
            <w:pPr>
              <w:pStyle w:val="ListParagraph"/>
              <w:ind w:left="0"/>
              <w:rPr>
                <w:rFonts w:ascii="Times New Roman" w:hAnsi="Times New Roman" w:cs="Times New Roman"/>
              </w:rPr>
            </w:pPr>
            <w:r>
              <w:rPr>
                <w:rFonts w:ascii="Times New Roman" w:hAnsi="Times New Roman" w:cs="Times New Roman"/>
              </w:rPr>
              <w:t>Based on TANF/SNAP data.  This variable is very accurate, coming from payments data.  It shows the number of months the person either directly received Food Stamp or SNAP payments or counted as an assistance member and thereby increasing payments for the actual payee.  We take this as a measure of cumulative disadvantage.  This variable and the TANF variable above are highly correlated</w:t>
            </w:r>
            <w:r w:rsidR="00CC38A7">
              <w:rPr>
                <w:rFonts w:ascii="Times New Roman" w:hAnsi="Times New Roman" w:cs="Times New Roman"/>
              </w:rPr>
              <w:t>,</w:t>
            </w:r>
            <w:r>
              <w:rPr>
                <w:rFonts w:ascii="Times New Roman" w:hAnsi="Times New Roman" w:cs="Times New Roman"/>
              </w:rPr>
              <w:t xml:space="preserve"> so their coefficients are negatively correlated.  </w:t>
            </w:r>
          </w:p>
        </w:tc>
      </w:tr>
      <w:tr w:rsidR="0040030B" w14:paraId="21240AB3" w14:textId="77777777" w:rsidTr="0040030B">
        <w:tc>
          <w:tcPr>
            <w:tcW w:w="1525" w:type="dxa"/>
          </w:tcPr>
          <w:p w14:paraId="5E708273" w14:textId="77777777" w:rsidR="0040030B" w:rsidRDefault="008B79F5" w:rsidP="0040030B">
            <w:pPr>
              <w:pStyle w:val="ListParagraph"/>
              <w:ind w:left="0"/>
              <w:rPr>
                <w:rFonts w:ascii="Times New Roman" w:hAnsi="Times New Roman" w:cs="Times New Roman"/>
              </w:rPr>
            </w:pPr>
            <w:r>
              <w:rPr>
                <w:rFonts w:ascii="Times New Roman" w:hAnsi="Times New Roman" w:cs="Times New Roman"/>
              </w:rPr>
              <w:t>Gender</w:t>
            </w:r>
          </w:p>
        </w:tc>
        <w:tc>
          <w:tcPr>
            <w:tcW w:w="7825" w:type="dxa"/>
          </w:tcPr>
          <w:p w14:paraId="1D4953E4" w14:textId="77777777" w:rsidR="0040030B" w:rsidRDefault="008B79F5" w:rsidP="0040030B">
            <w:pPr>
              <w:pStyle w:val="ListParagraph"/>
              <w:ind w:left="0"/>
              <w:rPr>
                <w:rFonts w:ascii="Times New Roman" w:hAnsi="Times New Roman" w:cs="Times New Roman"/>
              </w:rPr>
            </w:pPr>
            <w:r>
              <w:rPr>
                <w:rFonts w:ascii="Times New Roman" w:hAnsi="Times New Roman" w:cs="Times New Roman"/>
              </w:rPr>
              <w:t xml:space="preserve">Based on BMV data.  This variable is very accurate.  1=male, 2= female.  </w:t>
            </w:r>
          </w:p>
        </w:tc>
      </w:tr>
      <w:tr w:rsidR="0040030B" w14:paraId="14C6D4CD" w14:textId="77777777" w:rsidTr="0040030B">
        <w:tc>
          <w:tcPr>
            <w:tcW w:w="1525" w:type="dxa"/>
          </w:tcPr>
          <w:p w14:paraId="7EBB49B1" w14:textId="77777777" w:rsidR="0040030B" w:rsidRDefault="00E240CE" w:rsidP="0040030B">
            <w:pPr>
              <w:pStyle w:val="ListParagraph"/>
              <w:ind w:left="0"/>
              <w:rPr>
                <w:rFonts w:ascii="Times New Roman" w:hAnsi="Times New Roman" w:cs="Times New Roman"/>
              </w:rPr>
            </w:pPr>
            <w:r>
              <w:rPr>
                <w:rFonts w:ascii="Times New Roman" w:hAnsi="Times New Roman" w:cs="Times New Roman"/>
              </w:rPr>
              <w:lastRenderedPageBreak/>
              <w:t>County</w:t>
            </w:r>
          </w:p>
        </w:tc>
        <w:tc>
          <w:tcPr>
            <w:tcW w:w="7825" w:type="dxa"/>
          </w:tcPr>
          <w:p w14:paraId="7207153E" w14:textId="77777777" w:rsidR="0040030B" w:rsidRDefault="00E240CE" w:rsidP="0040030B">
            <w:pPr>
              <w:pStyle w:val="ListParagraph"/>
              <w:ind w:left="0"/>
              <w:rPr>
                <w:rFonts w:ascii="Times New Roman" w:hAnsi="Times New Roman" w:cs="Times New Roman"/>
              </w:rPr>
            </w:pPr>
            <w:r>
              <w:rPr>
                <w:rFonts w:ascii="Times New Roman" w:hAnsi="Times New Roman" w:cs="Times New Roman"/>
              </w:rPr>
              <w:t>Based on BMV data.  This variable is accurate, but subject to error when people move.  When we have evidence a person moved out of Ohio, we drop the observation.</w:t>
            </w:r>
          </w:p>
        </w:tc>
      </w:tr>
      <w:tr w:rsidR="00E240CE" w14:paraId="2595B214" w14:textId="77777777" w:rsidTr="0040030B">
        <w:tc>
          <w:tcPr>
            <w:tcW w:w="1525" w:type="dxa"/>
          </w:tcPr>
          <w:p w14:paraId="2ADE77E4" w14:textId="77777777" w:rsidR="00E240CE" w:rsidRDefault="00E240CE" w:rsidP="0040030B">
            <w:pPr>
              <w:pStyle w:val="ListParagraph"/>
              <w:ind w:left="0"/>
              <w:rPr>
                <w:rFonts w:ascii="Times New Roman" w:hAnsi="Times New Roman" w:cs="Times New Roman"/>
              </w:rPr>
            </w:pPr>
            <w:r>
              <w:rPr>
                <w:rFonts w:ascii="Times New Roman" w:hAnsi="Times New Roman" w:cs="Times New Roman"/>
              </w:rPr>
              <w:t>Education</w:t>
            </w:r>
          </w:p>
        </w:tc>
        <w:tc>
          <w:tcPr>
            <w:tcW w:w="7825" w:type="dxa"/>
          </w:tcPr>
          <w:p w14:paraId="33AA413E" w14:textId="77777777" w:rsidR="00E240CE" w:rsidRDefault="00E240CE" w:rsidP="0040030B">
            <w:pPr>
              <w:pStyle w:val="ListParagraph"/>
              <w:ind w:left="0"/>
              <w:rPr>
                <w:rFonts w:ascii="Times New Roman" w:hAnsi="Times New Roman" w:cs="Times New Roman"/>
              </w:rPr>
            </w:pPr>
            <w:r>
              <w:rPr>
                <w:rFonts w:ascii="Times New Roman" w:hAnsi="Times New Roman" w:cs="Times New Roman"/>
              </w:rPr>
              <w:t>Based on CCMEP enrollment data</w:t>
            </w:r>
            <w:r w:rsidR="00187D08">
              <w:rPr>
                <w:rFonts w:ascii="Times New Roman" w:hAnsi="Times New Roman" w:cs="Times New Roman"/>
              </w:rPr>
              <w:t>,</w:t>
            </w:r>
            <w:r>
              <w:rPr>
                <w:rFonts w:ascii="Times New Roman" w:hAnsi="Times New Roman" w:cs="Times New Roman"/>
              </w:rPr>
              <w:t xml:space="preserve"> which is self-reported.  The variable is fairly accurate; we edited the data so it shows highest grade completed.  Anyone without a diploma or GED will not be coded 12.  The edit rules appear in the on-line metadata</w:t>
            </w:r>
            <w:r w:rsidR="00C6115D">
              <w:rPr>
                <w:rFonts w:ascii="Times New Roman" w:hAnsi="Times New Roman" w:cs="Times New Roman"/>
              </w:rPr>
              <w:t xml:space="preserve"> codebook</w:t>
            </w:r>
            <w:r>
              <w:rPr>
                <w:rFonts w:ascii="Times New Roman" w:hAnsi="Times New Roman" w:cs="Times New Roman"/>
              </w:rPr>
              <w:t xml:space="preserve">. </w:t>
            </w:r>
          </w:p>
        </w:tc>
      </w:tr>
      <w:tr w:rsidR="00E240CE" w14:paraId="2C01C121" w14:textId="77777777" w:rsidTr="0040030B">
        <w:tc>
          <w:tcPr>
            <w:tcW w:w="1525" w:type="dxa"/>
          </w:tcPr>
          <w:p w14:paraId="7ADD78D6" w14:textId="77777777" w:rsidR="00E240CE" w:rsidRDefault="00BE66AE" w:rsidP="0040030B">
            <w:pPr>
              <w:pStyle w:val="ListParagraph"/>
              <w:ind w:left="0"/>
              <w:rPr>
                <w:rFonts w:ascii="Times New Roman" w:hAnsi="Times New Roman" w:cs="Times New Roman"/>
              </w:rPr>
            </w:pPr>
            <w:r>
              <w:rPr>
                <w:rFonts w:ascii="Times New Roman" w:hAnsi="Times New Roman" w:cs="Times New Roman"/>
              </w:rPr>
              <w:t>RTExp</w:t>
            </w:r>
          </w:p>
        </w:tc>
        <w:tc>
          <w:tcPr>
            <w:tcW w:w="7825" w:type="dxa"/>
          </w:tcPr>
          <w:p w14:paraId="1D71A633" w14:textId="615D3ACE" w:rsidR="00E240CE" w:rsidRDefault="00BE66AE" w:rsidP="00187D08">
            <w:pPr>
              <w:pStyle w:val="ListParagraph"/>
              <w:ind w:left="0"/>
              <w:rPr>
                <w:rFonts w:ascii="Times New Roman" w:hAnsi="Times New Roman" w:cs="Times New Roman"/>
              </w:rPr>
            </w:pPr>
            <w:r>
              <w:rPr>
                <w:rFonts w:ascii="Times New Roman" w:hAnsi="Times New Roman" w:cs="Times New Roman"/>
              </w:rPr>
              <w:t>This is a created labor market descriptor.  It is the rate of change in earnings for those who worked 13 weeks in both the current and previous quarter.  We sum this quarterly rate of change over the four consecutive in the pre-onset period (2</w:t>
            </w:r>
            <w:r w:rsidRPr="00BE66AE">
              <w:rPr>
                <w:rFonts w:ascii="Times New Roman" w:hAnsi="Times New Roman" w:cs="Times New Roman"/>
                <w:vertAlign w:val="superscript"/>
              </w:rPr>
              <w:t>nd</w:t>
            </w:r>
            <w:r>
              <w:rPr>
                <w:rFonts w:ascii="Times New Roman" w:hAnsi="Times New Roman" w:cs="Times New Roman"/>
              </w:rPr>
              <w:t xml:space="preserve"> </w:t>
            </w:r>
            <w:r w:rsidR="003F6274">
              <w:rPr>
                <w:rFonts w:ascii="Times New Roman" w:hAnsi="Times New Roman" w:cs="Times New Roman"/>
              </w:rPr>
              <w:t>Q</w:t>
            </w:r>
            <w:r>
              <w:rPr>
                <w:rFonts w:ascii="Times New Roman" w:hAnsi="Times New Roman" w:cs="Times New Roman"/>
              </w:rPr>
              <w:t>uarter 2016 through 1</w:t>
            </w:r>
            <w:r w:rsidRPr="00BE66AE">
              <w:rPr>
                <w:rFonts w:ascii="Times New Roman" w:hAnsi="Times New Roman" w:cs="Times New Roman"/>
                <w:vertAlign w:val="superscript"/>
              </w:rPr>
              <w:t>st</w:t>
            </w:r>
            <w:r>
              <w:rPr>
                <w:rFonts w:ascii="Times New Roman" w:hAnsi="Times New Roman" w:cs="Times New Roman"/>
              </w:rPr>
              <w:t xml:space="preserve"> </w:t>
            </w:r>
            <w:r w:rsidR="003F6274">
              <w:rPr>
                <w:rFonts w:ascii="Times New Roman" w:hAnsi="Times New Roman" w:cs="Times New Roman"/>
              </w:rPr>
              <w:t>Q</w:t>
            </w:r>
            <w:r>
              <w:rPr>
                <w:rFonts w:ascii="Times New Roman" w:hAnsi="Times New Roman" w:cs="Times New Roman"/>
              </w:rPr>
              <w:t>uarter 2017</w:t>
            </w:r>
            <w:r w:rsidR="00187D08">
              <w:rPr>
                <w:rFonts w:ascii="Times New Roman" w:hAnsi="Times New Roman" w:cs="Times New Roman"/>
              </w:rPr>
              <w:t>)</w:t>
            </w:r>
            <w:r>
              <w:rPr>
                <w:rFonts w:ascii="Times New Roman" w:hAnsi="Times New Roman" w:cs="Times New Roman"/>
              </w:rPr>
              <w:t>.  This is computed for youths statewide born 1994-2000 who are not in CCMEP and have not appeared in the state Higher Education database.</w:t>
            </w:r>
            <w:r w:rsidR="006359C4">
              <w:rPr>
                <w:rFonts w:ascii="Times New Roman" w:hAnsi="Times New Roman" w:cs="Times New Roman"/>
              </w:rPr>
              <w:t xml:space="preserve">  </w:t>
            </w:r>
            <w:r w:rsidR="00187D08">
              <w:rPr>
                <w:rFonts w:ascii="Times New Roman" w:hAnsi="Times New Roman" w:cs="Times New Roman"/>
              </w:rPr>
              <w:t>C</w:t>
            </w:r>
            <w:r w:rsidR="006359C4">
              <w:rPr>
                <w:rFonts w:ascii="Times New Roman" w:hAnsi="Times New Roman" w:cs="Times New Roman"/>
              </w:rPr>
              <w:t>ounty measures for this variable exhibit modest variation.</w:t>
            </w:r>
          </w:p>
        </w:tc>
      </w:tr>
      <w:tr w:rsidR="00E240CE" w14:paraId="04A2AB06" w14:textId="77777777" w:rsidTr="0040030B">
        <w:tc>
          <w:tcPr>
            <w:tcW w:w="1525" w:type="dxa"/>
          </w:tcPr>
          <w:p w14:paraId="5A5AD738" w14:textId="77777777" w:rsidR="00E240CE" w:rsidRDefault="00BE66AE" w:rsidP="0040030B">
            <w:pPr>
              <w:pStyle w:val="ListParagraph"/>
              <w:ind w:left="0"/>
              <w:rPr>
                <w:rFonts w:ascii="Times New Roman" w:hAnsi="Times New Roman" w:cs="Times New Roman"/>
              </w:rPr>
            </w:pPr>
            <w:r>
              <w:rPr>
                <w:rFonts w:ascii="Times New Roman" w:hAnsi="Times New Roman" w:cs="Times New Roman"/>
              </w:rPr>
              <w:t>KIFirms</w:t>
            </w:r>
          </w:p>
        </w:tc>
        <w:tc>
          <w:tcPr>
            <w:tcW w:w="7825" w:type="dxa"/>
          </w:tcPr>
          <w:p w14:paraId="69FF5D14" w14:textId="77777777" w:rsidR="00E240CE" w:rsidRDefault="00C6115D" w:rsidP="0040030B">
            <w:pPr>
              <w:pStyle w:val="ListParagraph"/>
              <w:ind w:left="0"/>
              <w:rPr>
                <w:rFonts w:ascii="Times New Roman" w:hAnsi="Times New Roman" w:cs="Times New Roman"/>
              </w:rPr>
            </w:pPr>
            <w:r>
              <w:rPr>
                <w:rFonts w:ascii="Times New Roman" w:hAnsi="Times New Roman" w:cs="Times New Roman"/>
              </w:rPr>
              <w:t>This is a created labor market descriptor.  It is the number of youths working for industries that employ most youth (see Table 5 above) divided by the population in that labor market.  As with the variable above, we compute this metric using peers not in CCMEP or in the Higher Education database.</w:t>
            </w:r>
            <w:r w:rsidR="006359C4">
              <w:rPr>
                <w:rFonts w:ascii="Times New Roman" w:hAnsi="Times New Roman" w:cs="Times New Roman"/>
              </w:rPr>
              <w:t xml:space="preserve">  The county measures for this variable exhibit modest variation.</w:t>
            </w:r>
          </w:p>
        </w:tc>
      </w:tr>
      <w:tr w:rsidR="00E240CE" w14:paraId="64B9C641" w14:textId="77777777" w:rsidTr="0040030B">
        <w:tc>
          <w:tcPr>
            <w:tcW w:w="1525" w:type="dxa"/>
          </w:tcPr>
          <w:p w14:paraId="6F87C817" w14:textId="77777777" w:rsidR="00E240CE" w:rsidRDefault="00C6115D" w:rsidP="0040030B">
            <w:pPr>
              <w:pStyle w:val="ListParagraph"/>
              <w:ind w:left="0"/>
              <w:rPr>
                <w:rFonts w:ascii="Times New Roman" w:hAnsi="Times New Roman" w:cs="Times New Roman"/>
              </w:rPr>
            </w:pPr>
            <w:r>
              <w:rPr>
                <w:rFonts w:ascii="Times New Roman" w:hAnsi="Times New Roman" w:cs="Times New Roman"/>
              </w:rPr>
              <w:t>EverEmpR</w:t>
            </w:r>
          </w:p>
        </w:tc>
        <w:tc>
          <w:tcPr>
            <w:tcW w:w="7825" w:type="dxa"/>
          </w:tcPr>
          <w:p w14:paraId="4713FC10" w14:textId="77777777" w:rsidR="00E240CE" w:rsidRDefault="00C6115D" w:rsidP="00C6115D">
            <w:pPr>
              <w:pStyle w:val="ListParagraph"/>
              <w:ind w:left="0"/>
              <w:rPr>
                <w:rFonts w:ascii="Times New Roman" w:hAnsi="Times New Roman" w:cs="Times New Roman"/>
              </w:rPr>
            </w:pPr>
            <w:r>
              <w:rPr>
                <w:rFonts w:ascii="Times New Roman" w:hAnsi="Times New Roman" w:cs="Times New Roman"/>
              </w:rPr>
              <w:t>This is a created labor market descriptor.  It is the fraction of youths in a labor market who held any job in the UI data during the pre-onset period.  As with the variables above, we compute this metric using peers not in CCMEP or in the Higher Education database.</w:t>
            </w:r>
            <w:r w:rsidR="006359C4">
              <w:rPr>
                <w:rFonts w:ascii="Times New Roman" w:hAnsi="Times New Roman" w:cs="Times New Roman"/>
              </w:rPr>
              <w:t xml:space="preserve">  The county measures for this variable exhibit modest variation.</w:t>
            </w:r>
          </w:p>
        </w:tc>
      </w:tr>
      <w:tr w:rsidR="00C6115D" w14:paraId="36171F43" w14:textId="77777777" w:rsidTr="0040030B">
        <w:tc>
          <w:tcPr>
            <w:tcW w:w="1525" w:type="dxa"/>
          </w:tcPr>
          <w:p w14:paraId="45F7A0A7" w14:textId="77777777" w:rsidR="00C6115D" w:rsidRDefault="005D05F4" w:rsidP="0040030B">
            <w:pPr>
              <w:pStyle w:val="ListParagraph"/>
              <w:ind w:left="0"/>
              <w:rPr>
                <w:rFonts w:ascii="Times New Roman" w:hAnsi="Times New Roman" w:cs="Times New Roman"/>
              </w:rPr>
            </w:pPr>
            <w:r>
              <w:rPr>
                <w:rFonts w:ascii="Times New Roman" w:hAnsi="Times New Roman" w:cs="Times New Roman"/>
              </w:rPr>
              <w:t>IEP</w:t>
            </w:r>
          </w:p>
        </w:tc>
        <w:tc>
          <w:tcPr>
            <w:tcW w:w="7825" w:type="dxa"/>
          </w:tcPr>
          <w:p w14:paraId="47DAF5DE" w14:textId="77777777" w:rsidR="00C6115D" w:rsidRDefault="005D05F4" w:rsidP="0040030B">
            <w:pPr>
              <w:pStyle w:val="ListParagraph"/>
              <w:ind w:left="0"/>
              <w:rPr>
                <w:rFonts w:ascii="Times New Roman" w:hAnsi="Times New Roman" w:cs="Times New Roman"/>
              </w:rPr>
            </w:pPr>
            <w:r>
              <w:rPr>
                <w:rFonts w:ascii="Times New Roman" w:hAnsi="Times New Roman" w:cs="Times New Roman"/>
              </w:rPr>
              <w:t>Based on self-reported Enrollment data.  Indicates whether youth had ever had an IEP in school.</w:t>
            </w:r>
          </w:p>
        </w:tc>
      </w:tr>
      <w:tr w:rsidR="00C6115D" w14:paraId="3B5C906F" w14:textId="77777777" w:rsidTr="0040030B">
        <w:tc>
          <w:tcPr>
            <w:tcW w:w="1525" w:type="dxa"/>
          </w:tcPr>
          <w:p w14:paraId="30173079" w14:textId="77777777" w:rsidR="00C6115D" w:rsidRDefault="005D05F4" w:rsidP="0040030B">
            <w:pPr>
              <w:pStyle w:val="ListParagraph"/>
              <w:ind w:left="0"/>
              <w:rPr>
                <w:rFonts w:ascii="Times New Roman" w:hAnsi="Times New Roman" w:cs="Times New Roman"/>
              </w:rPr>
            </w:pPr>
            <w:r>
              <w:rPr>
                <w:rFonts w:ascii="Times New Roman" w:hAnsi="Times New Roman" w:cs="Times New Roman"/>
              </w:rPr>
              <w:t>Transp</w:t>
            </w:r>
          </w:p>
        </w:tc>
        <w:tc>
          <w:tcPr>
            <w:tcW w:w="7825" w:type="dxa"/>
          </w:tcPr>
          <w:p w14:paraId="04AB515A" w14:textId="77777777" w:rsidR="00C6115D" w:rsidRDefault="005D05F4" w:rsidP="005D05F4">
            <w:pPr>
              <w:pStyle w:val="ListParagraph"/>
              <w:ind w:left="0"/>
              <w:rPr>
                <w:rFonts w:ascii="Times New Roman" w:hAnsi="Times New Roman" w:cs="Times New Roman"/>
              </w:rPr>
            </w:pPr>
            <w:r>
              <w:rPr>
                <w:rFonts w:ascii="Times New Roman" w:hAnsi="Times New Roman" w:cs="Times New Roman"/>
              </w:rPr>
              <w:t>Based on self-reported Enrollment data.  Indicates whether youth has reliable transportation.</w:t>
            </w:r>
          </w:p>
        </w:tc>
      </w:tr>
      <w:tr w:rsidR="00C6115D" w14:paraId="445D6AFD" w14:textId="77777777" w:rsidTr="0040030B">
        <w:tc>
          <w:tcPr>
            <w:tcW w:w="1525" w:type="dxa"/>
          </w:tcPr>
          <w:p w14:paraId="691DC8A4" w14:textId="77777777" w:rsidR="00C6115D" w:rsidRDefault="005D05F4" w:rsidP="0040030B">
            <w:pPr>
              <w:pStyle w:val="ListParagraph"/>
              <w:ind w:left="0"/>
              <w:rPr>
                <w:rFonts w:ascii="Times New Roman" w:hAnsi="Times New Roman" w:cs="Times New Roman"/>
              </w:rPr>
            </w:pPr>
            <w:r>
              <w:rPr>
                <w:rFonts w:ascii="Times New Roman" w:hAnsi="Times New Roman" w:cs="Times New Roman"/>
              </w:rPr>
              <w:t>JuvCT</w:t>
            </w:r>
          </w:p>
        </w:tc>
        <w:tc>
          <w:tcPr>
            <w:tcW w:w="7825" w:type="dxa"/>
          </w:tcPr>
          <w:p w14:paraId="36A71F02" w14:textId="77777777" w:rsidR="00C6115D" w:rsidRDefault="005D05F4" w:rsidP="005D05F4">
            <w:pPr>
              <w:pStyle w:val="ListParagraph"/>
              <w:ind w:left="0"/>
              <w:rPr>
                <w:rFonts w:ascii="Times New Roman" w:hAnsi="Times New Roman" w:cs="Times New Roman"/>
              </w:rPr>
            </w:pPr>
            <w:r>
              <w:rPr>
                <w:rFonts w:ascii="Times New Roman" w:hAnsi="Times New Roman" w:cs="Times New Roman"/>
              </w:rPr>
              <w:t>Based on self-reported Enrollment data.  Indicates whether youth has ever been involved with juvenile court.</w:t>
            </w:r>
          </w:p>
        </w:tc>
      </w:tr>
      <w:tr w:rsidR="00054471" w14:paraId="33A68749" w14:textId="77777777" w:rsidTr="0040030B">
        <w:tc>
          <w:tcPr>
            <w:tcW w:w="1525" w:type="dxa"/>
          </w:tcPr>
          <w:p w14:paraId="4EDE4EE4" w14:textId="77777777" w:rsidR="00054471" w:rsidRDefault="00054471" w:rsidP="0040030B">
            <w:pPr>
              <w:pStyle w:val="ListParagraph"/>
              <w:ind w:left="0"/>
              <w:rPr>
                <w:rFonts w:ascii="Times New Roman" w:hAnsi="Times New Roman" w:cs="Times New Roman"/>
              </w:rPr>
            </w:pPr>
            <w:r>
              <w:rPr>
                <w:rFonts w:ascii="Times New Roman" w:hAnsi="Times New Roman" w:cs="Times New Roman"/>
              </w:rPr>
              <w:t>Age</w:t>
            </w:r>
          </w:p>
        </w:tc>
        <w:tc>
          <w:tcPr>
            <w:tcW w:w="7825" w:type="dxa"/>
          </w:tcPr>
          <w:p w14:paraId="418558A5" w14:textId="77777777" w:rsidR="00054471" w:rsidRDefault="00054471" w:rsidP="005D05F4">
            <w:pPr>
              <w:pStyle w:val="ListParagraph"/>
              <w:ind w:left="0"/>
              <w:rPr>
                <w:rFonts w:ascii="Times New Roman" w:hAnsi="Times New Roman" w:cs="Times New Roman"/>
              </w:rPr>
            </w:pPr>
            <w:r>
              <w:rPr>
                <w:rFonts w:ascii="Times New Roman" w:hAnsi="Times New Roman" w:cs="Times New Roman"/>
              </w:rPr>
              <w:t xml:space="preserve">Age in 2000; ranges from zero to six.  </w:t>
            </w:r>
          </w:p>
        </w:tc>
      </w:tr>
      <w:tr w:rsidR="00054471" w14:paraId="45976A57" w14:textId="77777777" w:rsidTr="0040030B">
        <w:tc>
          <w:tcPr>
            <w:tcW w:w="1525" w:type="dxa"/>
          </w:tcPr>
          <w:p w14:paraId="16A0D117" w14:textId="77777777" w:rsidR="00054471" w:rsidRDefault="00054471" w:rsidP="0040030B">
            <w:pPr>
              <w:pStyle w:val="ListParagraph"/>
              <w:ind w:left="0"/>
              <w:rPr>
                <w:rFonts w:ascii="Times New Roman" w:hAnsi="Times New Roman" w:cs="Times New Roman"/>
              </w:rPr>
            </w:pPr>
            <w:r>
              <w:rPr>
                <w:rFonts w:ascii="Times New Roman" w:hAnsi="Times New Roman" w:cs="Times New Roman"/>
              </w:rPr>
              <w:t>Yrs_ExpX</w:t>
            </w:r>
          </w:p>
        </w:tc>
        <w:tc>
          <w:tcPr>
            <w:tcW w:w="7825" w:type="dxa"/>
          </w:tcPr>
          <w:p w14:paraId="32822377" w14:textId="54CE1F13" w:rsidR="00054471" w:rsidRDefault="00054471" w:rsidP="005D05F4">
            <w:pPr>
              <w:pStyle w:val="ListParagraph"/>
              <w:ind w:left="0"/>
              <w:rPr>
                <w:rFonts w:ascii="Times New Roman" w:hAnsi="Times New Roman" w:cs="Times New Roman"/>
              </w:rPr>
            </w:pPr>
            <w:r>
              <w:rPr>
                <w:rFonts w:ascii="Times New Roman" w:hAnsi="Times New Roman" w:cs="Times New Roman"/>
              </w:rPr>
              <w:t xml:space="preserve">Number of weeks person has worked from Q1 2010 through Q1 2016 divided by 52.  </w:t>
            </w:r>
            <w:r w:rsidR="00842B27">
              <w:rPr>
                <w:rFonts w:ascii="Times New Roman" w:hAnsi="Times New Roman" w:cs="Times New Roman"/>
              </w:rPr>
              <w:t>We use this variable in the difference-in-difference regressions to avoid simultaneity</w:t>
            </w:r>
            <w:r w:rsidR="003F6274">
              <w:rPr>
                <w:rFonts w:ascii="Times New Roman" w:hAnsi="Times New Roman" w:cs="Times New Roman"/>
              </w:rPr>
              <w:t>,</w:t>
            </w:r>
            <w:r w:rsidR="00842B27">
              <w:rPr>
                <w:rFonts w:ascii="Times New Roman" w:hAnsi="Times New Roman" w:cs="Times New Roman"/>
              </w:rPr>
              <w:t xml:space="preserve"> as experience in our pre-onset “before” period is jointly determined with the observed labor market outcomes in the pre- and post-onset periods.</w:t>
            </w:r>
          </w:p>
        </w:tc>
      </w:tr>
      <w:tr w:rsidR="00842B27" w14:paraId="2EB42583" w14:textId="77777777" w:rsidTr="0040030B">
        <w:tc>
          <w:tcPr>
            <w:tcW w:w="1525" w:type="dxa"/>
          </w:tcPr>
          <w:p w14:paraId="5CD76AD7" w14:textId="77777777" w:rsidR="00842B27" w:rsidRDefault="00842B27" w:rsidP="00842B27">
            <w:pPr>
              <w:pStyle w:val="ListParagraph"/>
              <w:ind w:left="0"/>
              <w:rPr>
                <w:rFonts w:ascii="Times New Roman" w:hAnsi="Times New Roman" w:cs="Times New Roman"/>
              </w:rPr>
            </w:pPr>
            <w:r>
              <w:rPr>
                <w:rFonts w:ascii="Times New Roman" w:hAnsi="Times New Roman" w:cs="Times New Roman"/>
              </w:rPr>
              <w:t>Yrs_ExpY</w:t>
            </w:r>
          </w:p>
        </w:tc>
        <w:tc>
          <w:tcPr>
            <w:tcW w:w="7825" w:type="dxa"/>
          </w:tcPr>
          <w:p w14:paraId="4F2A8EC6" w14:textId="33109028" w:rsidR="00842B27" w:rsidRDefault="00842B27" w:rsidP="00842B27">
            <w:pPr>
              <w:pStyle w:val="ListParagraph"/>
              <w:ind w:left="0"/>
              <w:rPr>
                <w:rFonts w:ascii="Times New Roman" w:hAnsi="Times New Roman" w:cs="Times New Roman"/>
              </w:rPr>
            </w:pPr>
            <w:r>
              <w:rPr>
                <w:rFonts w:ascii="Times New Roman" w:hAnsi="Times New Roman" w:cs="Times New Roman"/>
              </w:rPr>
              <w:t>Number of weeks person has worked from Q1 2010 through Q4 2017 divided by 52.  We use this variable in the post-onset levels regressions to avoid simultaneity</w:t>
            </w:r>
            <w:r w:rsidR="003F6274">
              <w:rPr>
                <w:rFonts w:ascii="Times New Roman" w:hAnsi="Times New Roman" w:cs="Times New Roman"/>
              </w:rPr>
              <w:t>,</w:t>
            </w:r>
            <w:r>
              <w:rPr>
                <w:rFonts w:ascii="Times New Roman" w:hAnsi="Times New Roman" w:cs="Times New Roman"/>
              </w:rPr>
              <w:t xml:space="preserve"> as experience in the post-onset period is jointly determined with the observed labor market outcomes in the post-onset period.</w:t>
            </w:r>
          </w:p>
        </w:tc>
      </w:tr>
      <w:tr w:rsidR="003E1CC7" w14:paraId="418368CF" w14:textId="77777777" w:rsidTr="0040030B">
        <w:tc>
          <w:tcPr>
            <w:tcW w:w="1525" w:type="dxa"/>
          </w:tcPr>
          <w:p w14:paraId="500FD56D" w14:textId="77777777" w:rsidR="003E1CC7" w:rsidRDefault="003E1CC7" w:rsidP="00842B27">
            <w:pPr>
              <w:pStyle w:val="ListParagraph"/>
              <w:ind w:left="0"/>
              <w:rPr>
                <w:rFonts w:ascii="Times New Roman" w:hAnsi="Times New Roman" w:cs="Times New Roman"/>
              </w:rPr>
            </w:pPr>
            <w:r>
              <w:rPr>
                <w:rFonts w:ascii="Times New Roman" w:hAnsi="Times New Roman" w:cs="Times New Roman"/>
              </w:rPr>
              <w:t>Black</w:t>
            </w:r>
          </w:p>
        </w:tc>
        <w:tc>
          <w:tcPr>
            <w:tcW w:w="7825" w:type="dxa"/>
          </w:tcPr>
          <w:p w14:paraId="0A7B9157" w14:textId="77777777" w:rsidR="003E1CC7" w:rsidRDefault="003E1CC7" w:rsidP="00842B27">
            <w:pPr>
              <w:pStyle w:val="ListParagraph"/>
              <w:ind w:left="0"/>
              <w:rPr>
                <w:rFonts w:ascii="Times New Roman" w:hAnsi="Times New Roman" w:cs="Times New Roman"/>
              </w:rPr>
            </w:pPr>
            <w:r>
              <w:rPr>
                <w:rFonts w:ascii="Times New Roman" w:hAnsi="Times New Roman" w:cs="Times New Roman"/>
              </w:rPr>
              <w:t>Indicator based on Participant Individual Record Layout from report to U.S. Department of Labor</w:t>
            </w:r>
          </w:p>
        </w:tc>
      </w:tr>
      <w:tr w:rsidR="003E1CC7" w14:paraId="7BDC628F" w14:textId="77777777" w:rsidTr="0040030B">
        <w:tc>
          <w:tcPr>
            <w:tcW w:w="1525" w:type="dxa"/>
          </w:tcPr>
          <w:p w14:paraId="69589B7F" w14:textId="77777777" w:rsidR="003E1CC7" w:rsidRDefault="003E1CC7" w:rsidP="00842B27">
            <w:pPr>
              <w:pStyle w:val="ListParagraph"/>
              <w:ind w:left="0"/>
              <w:rPr>
                <w:rFonts w:ascii="Times New Roman" w:hAnsi="Times New Roman" w:cs="Times New Roman"/>
              </w:rPr>
            </w:pPr>
            <w:r>
              <w:rPr>
                <w:rFonts w:ascii="Times New Roman" w:hAnsi="Times New Roman" w:cs="Times New Roman"/>
              </w:rPr>
              <w:t>Hispanic</w:t>
            </w:r>
          </w:p>
        </w:tc>
        <w:tc>
          <w:tcPr>
            <w:tcW w:w="7825" w:type="dxa"/>
          </w:tcPr>
          <w:p w14:paraId="0752503A" w14:textId="77777777" w:rsidR="003E1CC7" w:rsidRDefault="003E1CC7" w:rsidP="00842B27">
            <w:pPr>
              <w:pStyle w:val="ListParagraph"/>
              <w:ind w:left="0"/>
              <w:rPr>
                <w:rFonts w:ascii="Times New Roman" w:hAnsi="Times New Roman" w:cs="Times New Roman"/>
              </w:rPr>
            </w:pPr>
            <w:r>
              <w:rPr>
                <w:rFonts w:ascii="Times New Roman" w:hAnsi="Times New Roman" w:cs="Times New Roman"/>
              </w:rPr>
              <w:t>Indicator based on Participant Individual Record Layout from report to U.S. Department of Labor</w:t>
            </w:r>
          </w:p>
        </w:tc>
      </w:tr>
    </w:tbl>
    <w:p w14:paraId="50BE0F92" w14:textId="77777777" w:rsidR="0040030B" w:rsidRPr="00B851DA" w:rsidRDefault="0040030B" w:rsidP="0040030B">
      <w:pPr>
        <w:pStyle w:val="ListParagraph"/>
        <w:ind w:left="0"/>
        <w:jc w:val="center"/>
        <w:rPr>
          <w:rFonts w:ascii="Times New Roman" w:hAnsi="Times New Roman" w:cs="Times New Roman"/>
        </w:rPr>
      </w:pPr>
    </w:p>
    <w:p w14:paraId="26682530" w14:textId="1F87A4C6" w:rsidR="00A40474" w:rsidRPr="00855E3C" w:rsidRDefault="003865AA" w:rsidP="00AC6265">
      <w:pPr>
        <w:jc w:val="both"/>
        <w:rPr>
          <w:rFonts w:ascii="Times New Roman" w:hAnsi="Times New Roman" w:cs="Times New Roman"/>
        </w:rPr>
      </w:pPr>
      <w:r w:rsidRPr="00855E3C">
        <w:rPr>
          <w:rFonts w:ascii="Times New Roman" w:hAnsi="Times New Roman" w:cs="Times New Roman"/>
        </w:rPr>
        <w:t xml:space="preserve">Table </w:t>
      </w:r>
      <w:r w:rsidR="00883191">
        <w:rPr>
          <w:rFonts w:ascii="Times New Roman" w:hAnsi="Times New Roman" w:cs="Times New Roman"/>
        </w:rPr>
        <w:t>10</w:t>
      </w:r>
      <w:r w:rsidRPr="00855E3C">
        <w:rPr>
          <w:rFonts w:ascii="Times New Roman" w:hAnsi="Times New Roman" w:cs="Times New Roman"/>
        </w:rPr>
        <w:t>, below, shows our results</w:t>
      </w:r>
      <w:r w:rsidR="003658D3" w:rsidRPr="00855E3C">
        <w:rPr>
          <w:rFonts w:ascii="Times New Roman" w:hAnsi="Times New Roman" w:cs="Times New Roman"/>
        </w:rPr>
        <w:t xml:space="preserve"> for the difference-in-difference estimation for earnings, weeks worked and number of employers.  </w:t>
      </w:r>
      <w:r w:rsidR="00A40474" w:rsidRPr="00855E3C">
        <w:rPr>
          <w:rFonts w:ascii="Times New Roman" w:hAnsi="Times New Roman" w:cs="Times New Roman"/>
        </w:rPr>
        <w:t>The reference periods for pre- and post-onset are four quarters, the former starting 2</w:t>
      </w:r>
      <w:r w:rsidR="00A40474" w:rsidRPr="00855E3C">
        <w:rPr>
          <w:rFonts w:ascii="Times New Roman" w:hAnsi="Times New Roman" w:cs="Times New Roman"/>
          <w:vertAlign w:val="superscript"/>
        </w:rPr>
        <w:t>nd</w:t>
      </w:r>
      <w:r w:rsidR="00A40474" w:rsidRPr="00855E3C">
        <w:rPr>
          <w:rFonts w:ascii="Times New Roman" w:hAnsi="Times New Roman" w:cs="Times New Roman"/>
        </w:rPr>
        <w:t xml:space="preserve"> </w:t>
      </w:r>
      <w:r w:rsidR="003F6274">
        <w:rPr>
          <w:rFonts w:ascii="Times New Roman" w:hAnsi="Times New Roman" w:cs="Times New Roman"/>
        </w:rPr>
        <w:t>Q</w:t>
      </w:r>
      <w:r w:rsidR="00A40474" w:rsidRPr="00855E3C">
        <w:rPr>
          <w:rFonts w:ascii="Times New Roman" w:hAnsi="Times New Roman" w:cs="Times New Roman"/>
        </w:rPr>
        <w:t>uarter 2016 and the latter 1</w:t>
      </w:r>
      <w:r w:rsidR="00A40474" w:rsidRPr="00855E3C">
        <w:rPr>
          <w:rFonts w:ascii="Times New Roman" w:hAnsi="Times New Roman" w:cs="Times New Roman"/>
          <w:vertAlign w:val="superscript"/>
        </w:rPr>
        <w:t>st</w:t>
      </w:r>
      <w:r w:rsidR="00A40474" w:rsidRPr="00855E3C">
        <w:rPr>
          <w:rFonts w:ascii="Times New Roman" w:hAnsi="Times New Roman" w:cs="Times New Roman"/>
        </w:rPr>
        <w:t xml:space="preserve"> </w:t>
      </w:r>
      <w:r w:rsidR="003F6274">
        <w:rPr>
          <w:rFonts w:ascii="Times New Roman" w:hAnsi="Times New Roman" w:cs="Times New Roman"/>
        </w:rPr>
        <w:t>Q</w:t>
      </w:r>
      <w:r w:rsidR="00A40474" w:rsidRPr="00855E3C">
        <w:rPr>
          <w:rFonts w:ascii="Times New Roman" w:hAnsi="Times New Roman" w:cs="Times New Roman"/>
        </w:rPr>
        <w:t xml:space="preserve">uarter 2018.  </w:t>
      </w:r>
      <w:r w:rsidR="00564A9C" w:rsidRPr="00855E3C">
        <w:rPr>
          <w:rFonts w:ascii="Times New Roman" w:hAnsi="Times New Roman" w:cs="Times New Roman"/>
        </w:rPr>
        <w:t>Absolute values of t</w:t>
      </w:r>
      <w:r w:rsidR="00A40474" w:rsidRPr="00855E3C">
        <w:rPr>
          <w:rFonts w:ascii="Times New Roman" w:hAnsi="Times New Roman" w:cs="Times New Roman"/>
        </w:rPr>
        <w:t xml:space="preserve">-statistics are below the coefficients.  </w:t>
      </w:r>
    </w:p>
    <w:p w14:paraId="0467716A" w14:textId="77777777" w:rsidR="00855E3C" w:rsidRDefault="003658D3" w:rsidP="00AC6265">
      <w:pPr>
        <w:jc w:val="both"/>
        <w:rPr>
          <w:rFonts w:ascii="Times New Roman" w:hAnsi="Times New Roman" w:cs="Times New Roman"/>
        </w:rPr>
      </w:pPr>
      <w:r w:rsidRPr="00855E3C">
        <w:rPr>
          <w:rFonts w:ascii="Times New Roman" w:hAnsi="Times New Roman" w:cs="Times New Roman"/>
        </w:rPr>
        <w:lastRenderedPageBreak/>
        <w:t xml:space="preserve">The eligibility indicator is the central variable, but the regressions include indicators of local labor market conditions as well as characteristics of the youth.  With the regressions being based on differencing outcomes over time, the variable coefficients reveal </w:t>
      </w:r>
      <w:r w:rsidR="00D90E80" w:rsidRPr="00855E3C">
        <w:rPr>
          <w:rFonts w:ascii="Times New Roman" w:hAnsi="Times New Roman" w:cs="Times New Roman"/>
        </w:rPr>
        <w:t xml:space="preserve">the variables’ effect on earnings growth as well as on changes in hours and number of employers.  </w:t>
      </w:r>
      <w:r w:rsidRPr="00855E3C">
        <w:rPr>
          <w:rFonts w:ascii="Times New Roman" w:hAnsi="Times New Roman" w:cs="Times New Roman"/>
        </w:rPr>
        <w:t xml:space="preserve"> </w:t>
      </w:r>
      <w:r w:rsidR="00021192" w:rsidRPr="00855E3C">
        <w:rPr>
          <w:rFonts w:ascii="Times New Roman" w:hAnsi="Times New Roman" w:cs="Times New Roman"/>
        </w:rPr>
        <w:t xml:space="preserve">The majority of labor supply and wage equations look at </w:t>
      </w:r>
      <w:r w:rsidR="00021192" w:rsidRPr="00855E3C">
        <w:rPr>
          <w:rFonts w:ascii="Times New Roman" w:hAnsi="Times New Roman" w:cs="Times New Roman"/>
          <w:i/>
        </w:rPr>
        <w:t xml:space="preserve">levels </w:t>
      </w:r>
      <w:r w:rsidR="00021192" w:rsidRPr="00855E3C">
        <w:rPr>
          <w:rFonts w:ascii="Times New Roman" w:hAnsi="Times New Roman" w:cs="Times New Roman"/>
        </w:rPr>
        <w:t>rather than changes.  As noted early on in this report, the central issue here is earnings growth</w:t>
      </w:r>
      <w:r w:rsidR="00187D08">
        <w:rPr>
          <w:rFonts w:ascii="Times New Roman" w:hAnsi="Times New Roman" w:cs="Times New Roman"/>
        </w:rPr>
        <w:t>,</w:t>
      </w:r>
      <w:r w:rsidR="00021192" w:rsidRPr="00855E3C">
        <w:rPr>
          <w:rFonts w:ascii="Times New Roman" w:hAnsi="Times New Roman" w:cs="Times New Roman"/>
        </w:rPr>
        <w:t xml:space="preserve"> so changes are the right metric.  When we show the regressions for levels in earnings, the results will look more familiar.  We also caution the reader that these regressions r</w:t>
      </w:r>
      <w:r w:rsidR="006B0774" w:rsidRPr="00855E3C">
        <w:rPr>
          <w:rFonts w:ascii="Times New Roman" w:hAnsi="Times New Roman" w:cs="Times New Roman"/>
        </w:rPr>
        <w:t>e</w:t>
      </w:r>
      <w:r w:rsidR="00021192" w:rsidRPr="00855E3C">
        <w:rPr>
          <w:rFonts w:ascii="Times New Roman" w:hAnsi="Times New Roman" w:cs="Times New Roman"/>
        </w:rPr>
        <w:t xml:space="preserve">present </w:t>
      </w:r>
      <w:r w:rsidR="006B0774" w:rsidRPr="00855E3C">
        <w:rPr>
          <w:rFonts w:ascii="Times New Roman" w:hAnsi="Times New Roman" w:cs="Times New Roman"/>
        </w:rPr>
        <w:t>pe</w:t>
      </w:r>
      <w:r w:rsidR="00021192" w:rsidRPr="00855E3C">
        <w:rPr>
          <w:rFonts w:ascii="Times New Roman" w:hAnsi="Times New Roman" w:cs="Times New Roman"/>
        </w:rPr>
        <w:t>ople</w:t>
      </w:r>
      <w:r w:rsidR="006B0774" w:rsidRPr="00855E3C">
        <w:rPr>
          <w:rFonts w:ascii="Times New Roman" w:hAnsi="Times New Roman" w:cs="Times New Roman"/>
        </w:rPr>
        <w:t xml:space="preserve"> at the outset of their working lives and the results for these growth regressions will not endure deeper into their careers.</w:t>
      </w:r>
    </w:p>
    <w:p w14:paraId="0F76B438" w14:textId="7BAE6B7A" w:rsidR="00AA6A7D" w:rsidRDefault="00AA6A7D" w:rsidP="00855E3C">
      <w:pPr>
        <w:spacing w:after="0"/>
        <w:jc w:val="center"/>
        <w:rPr>
          <w:rFonts w:ascii="Times New Roman" w:hAnsi="Times New Roman" w:cs="Times New Roman"/>
        </w:rPr>
      </w:pPr>
      <w:r w:rsidRPr="00855E3C">
        <w:rPr>
          <w:rFonts w:ascii="Times New Roman" w:hAnsi="Times New Roman" w:cs="Times New Roman"/>
        </w:rPr>
        <w:t xml:space="preserve">Table </w:t>
      </w:r>
      <w:r w:rsidR="00883191">
        <w:rPr>
          <w:rFonts w:ascii="Times New Roman" w:hAnsi="Times New Roman" w:cs="Times New Roman"/>
        </w:rPr>
        <w:t>10</w:t>
      </w:r>
    </w:p>
    <w:p w14:paraId="57EC9179" w14:textId="77777777" w:rsidR="00855E3C" w:rsidRDefault="00855E3C" w:rsidP="00855E3C">
      <w:pPr>
        <w:spacing w:after="0"/>
        <w:jc w:val="center"/>
        <w:rPr>
          <w:rFonts w:ascii="Times New Roman" w:hAnsi="Times New Roman" w:cs="Times New Roman"/>
        </w:rPr>
      </w:pPr>
      <w:r>
        <w:rPr>
          <w:rFonts w:ascii="Times New Roman" w:hAnsi="Times New Roman" w:cs="Times New Roman"/>
        </w:rPr>
        <w:t>Difference-in-Difference Labor Market Outcome Regressions</w:t>
      </w:r>
    </w:p>
    <w:p w14:paraId="2995B396" w14:textId="77777777" w:rsidR="00855E3C" w:rsidRPr="00855E3C" w:rsidRDefault="00855E3C" w:rsidP="00855E3C">
      <w:pPr>
        <w:spacing w:after="0"/>
        <w:jc w:val="center"/>
        <w:rPr>
          <w:rFonts w:ascii="Times New Roman" w:hAnsi="Times New Roman" w:cs="Times New Roman"/>
        </w:rPr>
      </w:pPr>
    </w:p>
    <w:tbl>
      <w:tblPr>
        <w:tblStyle w:val="TableGrid"/>
        <w:tblW w:w="0" w:type="auto"/>
        <w:tblLook w:val="04A0" w:firstRow="1" w:lastRow="0" w:firstColumn="1" w:lastColumn="0" w:noHBand="0" w:noVBand="1"/>
        <w:tblCaption w:val="Difference in Difference Regressions"/>
        <w:tblDescription w:val="Table gives regression coefficients and t-statistics for regressors.  Final column is sample mean."/>
      </w:tblPr>
      <w:tblGrid>
        <w:gridCol w:w="2042"/>
        <w:gridCol w:w="1913"/>
        <w:gridCol w:w="1620"/>
        <w:gridCol w:w="1890"/>
        <w:gridCol w:w="1885"/>
      </w:tblGrid>
      <w:tr w:rsidR="00855E3C" w14:paraId="43D11481" w14:textId="77777777" w:rsidTr="0031247E">
        <w:trPr>
          <w:tblHeader/>
        </w:trPr>
        <w:tc>
          <w:tcPr>
            <w:tcW w:w="2042" w:type="dxa"/>
          </w:tcPr>
          <w:p w14:paraId="6F175928" w14:textId="77777777" w:rsidR="00855E3C" w:rsidRDefault="00855E3C" w:rsidP="00A40474">
            <w:r>
              <w:t xml:space="preserve">  </w:t>
            </w:r>
            <w:r w:rsidRPr="00855E3C">
              <w:rPr>
                <w:rFonts w:ascii="Times New Roman" w:hAnsi="Times New Roman" w:cs="Times New Roman"/>
              </w:rPr>
              <w:t>Variable</w:t>
            </w:r>
          </w:p>
        </w:tc>
        <w:tc>
          <w:tcPr>
            <w:tcW w:w="1913" w:type="dxa"/>
          </w:tcPr>
          <w:p w14:paraId="6DC4414C" w14:textId="77777777" w:rsidR="00855E3C" w:rsidRPr="00A40474" w:rsidRDefault="00855E3C" w:rsidP="00A40474">
            <w:pPr>
              <w:jc w:val="center"/>
              <w:rPr>
                <w:rFonts w:ascii="Times New Roman" w:hAnsi="Times New Roman" w:cs="Times New Roman"/>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Times New Roman" w:hAnsi="Times New Roman" w:cs="Times New Roman"/>
              </w:rPr>
              <w:t>Earnings</w:t>
            </w:r>
          </w:p>
        </w:tc>
        <w:tc>
          <w:tcPr>
            <w:tcW w:w="1620" w:type="dxa"/>
          </w:tcPr>
          <w:p w14:paraId="1D0A04DC" w14:textId="77777777" w:rsidR="00855E3C" w:rsidRPr="0054133D" w:rsidRDefault="00855E3C" w:rsidP="00A40474">
            <w:pPr>
              <w:jc w:val="center"/>
              <w:rPr>
                <w:rFonts w:ascii="Times New Roman" w:hAnsi="Times New Roman" w:cs="Times New Roman"/>
              </w:rPr>
            </w:pPr>
            <w:r w:rsidRPr="0054133D">
              <w:rPr>
                <w:rFonts w:ascii="Symbol" w:hAnsi="Symbol"/>
              </w:rPr>
              <w:t></w:t>
            </w:r>
            <w:r w:rsidRPr="0054133D">
              <w:rPr>
                <w:rFonts w:ascii="Symbol" w:hAnsi="Symbol"/>
              </w:rPr>
              <w:t></w:t>
            </w:r>
            <w:r w:rsidRPr="0054133D">
              <w:rPr>
                <w:rFonts w:ascii="Symbol" w:hAnsi="Symbol"/>
              </w:rPr>
              <w:t></w:t>
            </w:r>
            <w:r w:rsidRPr="0054133D">
              <w:rPr>
                <w:rFonts w:ascii="Symbol" w:hAnsi="Symbol"/>
              </w:rPr>
              <w:t></w:t>
            </w:r>
            <w:r w:rsidRPr="0054133D">
              <w:rPr>
                <w:rFonts w:ascii="Symbol" w:hAnsi="Symbol"/>
              </w:rPr>
              <w:t></w:t>
            </w:r>
            <w:r w:rsidRPr="0054133D">
              <w:rPr>
                <w:rFonts w:ascii="Symbol" w:hAnsi="Symbol"/>
              </w:rPr>
              <w:t></w:t>
            </w:r>
            <w:r w:rsidRPr="0054133D">
              <w:rPr>
                <w:rFonts w:ascii="Times New Roman" w:hAnsi="Times New Roman" w:cs="Times New Roman"/>
              </w:rPr>
              <w:t>Weeks</w:t>
            </w:r>
          </w:p>
        </w:tc>
        <w:tc>
          <w:tcPr>
            <w:tcW w:w="1890" w:type="dxa"/>
          </w:tcPr>
          <w:p w14:paraId="24693654" w14:textId="77777777" w:rsidR="00855E3C" w:rsidRPr="0054133D" w:rsidRDefault="00855E3C" w:rsidP="00A40474">
            <w:pPr>
              <w:jc w:val="center"/>
            </w:pPr>
            <w:r w:rsidRPr="0054133D">
              <w:rPr>
                <w:rFonts w:ascii="Symbol" w:hAnsi="Symbol"/>
              </w:rPr>
              <w:t></w:t>
            </w:r>
            <w:r w:rsidRPr="0054133D">
              <w:rPr>
                <w:rFonts w:ascii="Symbol" w:hAnsi="Symbol"/>
              </w:rPr>
              <w:t></w:t>
            </w:r>
            <w:r w:rsidRPr="0054133D">
              <w:rPr>
                <w:rFonts w:ascii="Symbol" w:hAnsi="Symbol"/>
              </w:rPr>
              <w:t></w:t>
            </w:r>
            <w:r w:rsidRPr="0054133D">
              <w:rPr>
                <w:rFonts w:ascii="Symbol" w:hAnsi="Symbol"/>
              </w:rPr>
              <w:t></w:t>
            </w:r>
            <w:r w:rsidRPr="0054133D">
              <w:rPr>
                <w:rFonts w:ascii="Symbol" w:hAnsi="Symbol"/>
              </w:rPr>
              <w:t></w:t>
            </w:r>
            <w:r w:rsidRPr="0054133D">
              <w:rPr>
                <w:rFonts w:ascii="Symbol" w:hAnsi="Symbol"/>
              </w:rPr>
              <w:t></w:t>
            </w:r>
            <w:r w:rsidRPr="0054133D">
              <w:rPr>
                <w:rFonts w:ascii="Times New Roman" w:hAnsi="Times New Roman" w:cs="Times New Roman"/>
              </w:rPr>
              <w:t>#Employers</w:t>
            </w:r>
          </w:p>
        </w:tc>
        <w:tc>
          <w:tcPr>
            <w:tcW w:w="1885" w:type="dxa"/>
          </w:tcPr>
          <w:p w14:paraId="7355F626" w14:textId="77777777" w:rsidR="00855E3C" w:rsidRPr="0054133D" w:rsidRDefault="00855E3C" w:rsidP="00F30C08">
            <w:pPr>
              <w:jc w:val="center"/>
              <w:rPr>
                <w:rFonts w:ascii="Times New Roman" w:hAnsi="Times New Roman" w:cs="Times New Roman"/>
              </w:rPr>
            </w:pPr>
            <w:r w:rsidRPr="0054133D">
              <w:rPr>
                <w:rFonts w:ascii="Times New Roman" w:hAnsi="Times New Roman" w:cs="Times New Roman"/>
              </w:rPr>
              <w:t xml:space="preserve">Regressor Mean </w:t>
            </w:r>
          </w:p>
        </w:tc>
      </w:tr>
      <w:tr w:rsidR="00855E3C" w14:paraId="102B27FA" w14:textId="77777777" w:rsidTr="00855E3C">
        <w:tc>
          <w:tcPr>
            <w:tcW w:w="2042" w:type="dxa"/>
          </w:tcPr>
          <w:p w14:paraId="470C66B7" w14:textId="77777777" w:rsidR="00855E3C" w:rsidRPr="00855E3C" w:rsidRDefault="00855E3C" w:rsidP="00A40474">
            <w:pPr>
              <w:rPr>
                <w:rFonts w:ascii="Times New Roman" w:hAnsi="Times New Roman" w:cs="Times New Roman"/>
              </w:rPr>
            </w:pPr>
            <w:r w:rsidRPr="00855E3C">
              <w:rPr>
                <w:rFonts w:ascii="Times New Roman" w:hAnsi="Times New Roman" w:cs="Times New Roman"/>
              </w:rPr>
              <w:t>Eligible for WP</w:t>
            </w:r>
          </w:p>
        </w:tc>
        <w:tc>
          <w:tcPr>
            <w:tcW w:w="1913" w:type="dxa"/>
          </w:tcPr>
          <w:p w14:paraId="41CD49C1" w14:textId="77777777" w:rsidR="00855E3C" w:rsidRPr="00855E3C" w:rsidRDefault="001F4084" w:rsidP="00AA6A7D">
            <w:pPr>
              <w:jc w:val="center"/>
              <w:rPr>
                <w:rFonts w:ascii="Times New Roman" w:hAnsi="Times New Roman" w:cs="Times New Roman"/>
              </w:rPr>
            </w:pPr>
            <w:r>
              <w:rPr>
                <w:rFonts w:ascii="Times New Roman" w:hAnsi="Times New Roman" w:cs="Times New Roman"/>
              </w:rPr>
              <w:t>493.2</w:t>
            </w:r>
          </w:p>
          <w:p w14:paraId="7B9351B1" w14:textId="77777777" w:rsidR="00855E3C" w:rsidRPr="00855E3C" w:rsidRDefault="00855E3C" w:rsidP="001F4084">
            <w:pPr>
              <w:jc w:val="center"/>
              <w:rPr>
                <w:rFonts w:ascii="Times New Roman" w:hAnsi="Times New Roman" w:cs="Times New Roman"/>
              </w:rPr>
            </w:pPr>
            <w:r w:rsidRPr="00855E3C">
              <w:rPr>
                <w:rFonts w:ascii="Times New Roman" w:hAnsi="Times New Roman" w:cs="Times New Roman"/>
              </w:rPr>
              <w:t>(</w:t>
            </w:r>
            <w:r w:rsidR="00EB6FF5">
              <w:rPr>
                <w:rFonts w:ascii="Times New Roman" w:hAnsi="Times New Roman" w:cs="Times New Roman"/>
              </w:rPr>
              <w:t>4</w:t>
            </w:r>
            <w:r w:rsidRPr="00855E3C">
              <w:rPr>
                <w:rFonts w:ascii="Times New Roman" w:hAnsi="Times New Roman" w:cs="Times New Roman"/>
              </w:rPr>
              <w:t>.</w:t>
            </w:r>
            <w:r w:rsidR="001F4084">
              <w:rPr>
                <w:rFonts w:ascii="Times New Roman" w:hAnsi="Times New Roman" w:cs="Times New Roman"/>
              </w:rPr>
              <w:t>33</w:t>
            </w:r>
            <w:r w:rsidRPr="00855E3C">
              <w:rPr>
                <w:rFonts w:ascii="Times New Roman" w:hAnsi="Times New Roman" w:cs="Times New Roman"/>
              </w:rPr>
              <w:t>)</w:t>
            </w:r>
          </w:p>
        </w:tc>
        <w:tc>
          <w:tcPr>
            <w:tcW w:w="1620" w:type="dxa"/>
          </w:tcPr>
          <w:p w14:paraId="5DB1F8AC" w14:textId="77777777" w:rsidR="00855E3C" w:rsidRPr="00855E3C" w:rsidRDefault="001E7397" w:rsidP="00AA6A7D">
            <w:pPr>
              <w:jc w:val="center"/>
              <w:rPr>
                <w:rFonts w:ascii="Times New Roman" w:hAnsi="Times New Roman" w:cs="Times New Roman"/>
              </w:rPr>
            </w:pPr>
            <w:r>
              <w:rPr>
                <w:rFonts w:ascii="Times New Roman" w:hAnsi="Times New Roman" w:cs="Times New Roman"/>
              </w:rPr>
              <w:t>1.6</w:t>
            </w:r>
            <w:r w:rsidR="00207CFF">
              <w:rPr>
                <w:rFonts w:ascii="Times New Roman" w:hAnsi="Times New Roman" w:cs="Times New Roman"/>
              </w:rPr>
              <w:t>6</w:t>
            </w:r>
          </w:p>
          <w:p w14:paraId="0F9DC49D" w14:textId="77777777" w:rsidR="00855E3C" w:rsidRPr="00855E3C" w:rsidRDefault="001E7397" w:rsidP="00207CFF">
            <w:pPr>
              <w:jc w:val="center"/>
              <w:rPr>
                <w:rFonts w:ascii="Times New Roman" w:hAnsi="Times New Roman" w:cs="Times New Roman"/>
              </w:rPr>
            </w:pPr>
            <w:r>
              <w:rPr>
                <w:rFonts w:ascii="Times New Roman" w:hAnsi="Times New Roman" w:cs="Times New Roman"/>
              </w:rPr>
              <w:t>(</w:t>
            </w:r>
            <w:r w:rsidR="00207CFF">
              <w:rPr>
                <w:rFonts w:ascii="Times New Roman" w:hAnsi="Times New Roman" w:cs="Times New Roman"/>
              </w:rPr>
              <w:t>5</w:t>
            </w:r>
            <w:r>
              <w:rPr>
                <w:rFonts w:ascii="Times New Roman" w:hAnsi="Times New Roman" w:cs="Times New Roman"/>
              </w:rPr>
              <w:t>.04</w:t>
            </w:r>
            <w:r w:rsidR="00855E3C" w:rsidRPr="00855E3C">
              <w:rPr>
                <w:rFonts w:ascii="Times New Roman" w:hAnsi="Times New Roman" w:cs="Times New Roman"/>
              </w:rPr>
              <w:t>)</w:t>
            </w:r>
          </w:p>
        </w:tc>
        <w:tc>
          <w:tcPr>
            <w:tcW w:w="1890" w:type="dxa"/>
          </w:tcPr>
          <w:p w14:paraId="328C849E" w14:textId="77777777" w:rsidR="00855E3C" w:rsidRDefault="00953F9C" w:rsidP="00AA6A7D">
            <w:pPr>
              <w:jc w:val="center"/>
              <w:rPr>
                <w:rFonts w:ascii="Times New Roman" w:hAnsi="Times New Roman" w:cs="Times New Roman"/>
              </w:rPr>
            </w:pPr>
            <w:r>
              <w:rPr>
                <w:rFonts w:ascii="Times New Roman" w:hAnsi="Times New Roman" w:cs="Times New Roman"/>
              </w:rPr>
              <w:t>0.0</w:t>
            </w:r>
            <w:r w:rsidR="00286B48">
              <w:rPr>
                <w:rFonts w:ascii="Times New Roman" w:hAnsi="Times New Roman" w:cs="Times New Roman"/>
              </w:rPr>
              <w:t>78</w:t>
            </w:r>
          </w:p>
          <w:p w14:paraId="53C8631C" w14:textId="77777777" w:rsidR="00953F9C" w:rsidRPr="00855E3C" w:rsidRDefault="00953F9C" w:rsidP="00286B48">
            <w:pPr>
              <w:jc w:val="center"/>
              <w:rPr>
                <w:rFonts w:ascii="Times New Roman" w:hAnsi="Times New Roman" w:cs="Times New Roman"/>
              </w:rPr>
            </w:pPr>
            <w:r>
              <w:rPr>
                <w:rFonts w:ascii="Times New Roman" w:hAnsi="Times New Roman" w:cs="Times New Roman"/>
              </w:rPr>
              <w:t>(</w:t>
            </w:r>
            <w:r w:rsidR="00286B48">
              <w:rPr>
                <w:rFonts w:ascii="Times New Roman" w:hAnsi="Times New Roman" w:cs="Times New Roman"/>
              </w:rPr>
              <w:t>6.22</w:t>
            </w:r>
            <w:r>
              <w:rPr>
                <w:rFonts w:ascii="Times New Roman" w:hAnsi="Times New Roman" w:cs="Times New Roman"/>
              </w:rPr>
              <w:t>)</w:t>
            </w:r>
          </w:p>
        </w:tc>
        <w:tc>
          <w:tcPr>
            <w:tcW w:w="1885" w:type="dxa"/>
          </w:tcPr>
          <w:p w14:paraId="498F0E7A" w14:textId="77777777" w:rsidR="00855E3C" w:rsidRPr="00855E3C" w:rsidRDefault="00121D61" w:rsidP="00AA6A7D">
            <w:pPr>
              <w:jc w:val="center"/>
              <w:rPr>
                <w:rFonts w:ascii="Times New Roman" w:hAnsi="Times New Roman" w:cs="Times New Roman"/>
              </w:rPr>
            </w:pPr>
            <w:r>
              <w:rPr>
                <w:rFonts w:ascii="Times New Roman" w:hAnsi="Times New Roman" w:cs="Times New Roman"/>
              </w:rPr>
              <w:t>0.190</w:t>
            </w:r>
          </w:p>
        </w:tc>
      </w:tr>
      <w:tr w:rsidR="00855E3C" w14:paraId="249F9202" w14:textId="77777777" w:rsidTr="00855E3C">
        <w:tc>
          <w:tcPr>
            <w:tcW w:w="2042" w:type="dxa"/>
          </w:tcPr>
          <w:p w14:paraId="62A96A80" w14:textId="77777777" w:rsidR="00855E3C" w:rsidRPr="00855E3C" w:rsidRDefault="00855E3C" w:rsidP="00A40474">
            <w:pPr>
              <w:rPr>
                <w:rFonts w:ascii="Times New Roman" w:hAnsi="Times New Roman" w:cs="Times New Roman"/>
              </w:rPr>
            </w:pPr>
            <w:r w:rsidRPr="00855E3C">
              <w:rPr>
                <w:rFonts w:ascii="Times New Roman" w:hAnsi="Times New Roman" w:cs="Times New Roman"/>
              </w:rPr>
              <w:t>Age</w:t>
            </w:r>
            <w:r w:rsidR="0096085E">
              <w:rPr>
                <w:rFonts w:ascii="Times New Roman" w:hAnsi="Times New Roman" w:cs="Times New Roman"/>
              </w:rPr>
              <w:t xml:space="preserve"> in </w:t>
            </w:r>
            <w:r w:rsidRPr="00855E3C">
              <w:rPr>
                <w:rFonts w:ascii="Times New Roman" w:hAnsi="Times New Roman" w:cs="Times New Roman"/>
              </w:rPr>
              <w:t>2000</w:t>
            </w:r>
          </w:p>
        </w:tc>
        <w:tc>
          <w:tcPr>
            <w:tcW w:w="1913" w:type="dxa"/>
          </w:tcPr>
          <w:p w14:paraId="186791AF" w14:textId="77777777" w:rsidR="00855E3C" w:rsidRPr="00855E3C" w:rsidRDefault="00EB6FF5" w:rsidP="00AA6A7D">
            <w:pPr>
              <w:jc w:val="center"/>
              <w:rPr>
                <w:rFonts w:ascii="Times New Roman" w:hAnsi="Times New Roman" w:cs="Times New Roman"/>
              </w:rPr>
            </w:pPr>
            <w:r>
              <w:rPr>
                <w:rFonts w:ascii="Times New Roman" w:hAnsi="Times New Roman" w:cs="Times New Roman"/>
              </w:rPr>
              <w:t>-51</w:t>
            </w:r>
            <w:r w:rsidR="001F4084">
              <w:rPr>
                <w:rFonts w:ascii="Times New Roman" w:hAnsi="Times New Roman" w:cs="Times New Roman"/>
              </w:rPr>
              <w:t>6.2</w:t>
            </w:r>
          </w:p>
          <w:p w14:paraId="584CB09A" w14:textId="77777777" w:rsidR="00855E3C" w:rsidRPr="00855E3C" w:rsidRDefault="0069730C" w:rsidP="001F4084">
            <w:pPr>
              <w:jc w:val="center"/>
              <w:rPr>
                <w:rFonts w:ascii="Times New Roman" w:hAnsi="Times New Roman" w:cs="Times New Roman"/>
              </w:rPr>
            </w:pPr>
            <w:r>
              <w:rPr>
                <w:rFonts w:ascii="Times New Roman" w:hAnsi="Times New Roman" w:cs="Times New Roman"/>
              </w:rPr>
              <w:t>(</w:t>
            </w:r>
            <w:r w:rsidR="00EB6FF5">
              <w:rPr>
                <w:rFonts w:ascii="Times New Roman" w:hAnsi="Times New Roman" w:cs="Times New Roman"/>
              </w:rPr>
              <w:t>18.</w:t>
            </w:r>
            <w:r w:rsidR="001F4084">
              <w:rPr>
                <w:rFonts w:ascii="Times New Roman" w:hAnsi="Times New Roman" w:cs="Times New Roman"/>
              </w:rPr>
              <w:t>5</w:t>
            </w:r>
            <w:r w:rsidR="00EB6FF5">
              <w:rPr>
                <w:rFonts w:ascii="Times New Roman" w:hAnsi="Times New Roman" w:cs="Times New Roman"/>
              </w:rPr>
              <w:t>9</w:t>
            </w:r>
            <w:r>
              <w:rPr>
                <w:rFonts w:ascii="Times New Roman" w:hAnsi="Times New Roman" w:cs="Times New Roman"/>
              </w:rPr>
              <w:t>)</w:t>
            </w:r>
          </w:p>
        </w:tc>
        <w:tc>
          <w:tcPr>
            <w:tcW w:w="1620" w:type="dxa"/>
          </w:tcPr>
          <w:p w14:paraId="111FEF78" w14:textId="77777777" w:rsidR="00855E3C" w:rsidRDefault="00855E3C" w:rsidP="00AA6A7D">
            <w:pPr>
              <w:jc w:val="center"/>
              <w:rPr>
                <w:rFonts w:ascii="Times New Roman" w:hAnsi="Times New Roman" w:cs="Times New Roman"/>
              </w:rPr>
            </w:pPr>
            <w:r>
              <w:rPr>
                <w:rFonts w:ascii="Times New Roman" w:hAnsi="Times New Roman" w:cs="Times New Roman"/>
              </w:rPr>
              <w:t>-</w:t>
            </w:r>
            <w:r w:rsidR="00207CFF">
              <w:rPr>
                <w:rFonts w:ascii="Times New Roman" w:hAnsi="Times New Roman" w:cs="Times New Roman"/>
              </w:rPr>
              <w:t>1.61</w:t>
            </w:r>
          </w:p>
          <w:p w14:paraId="11329B2C" w14:textId="77777777" w:rsidR="00855E3C" w:rsidRPr="00855E3C" w:rsidRDefault="001E7397" w:rsidP="00207CFF">
            <w:pPr>
              <w:jc w:val="center"/>
              <w:rPr>
                <w:rFonts w:ascii="Times New Roman" w:hAnsi="Times New Roman" w:cs="Times New Roman"/>
              </w:rPr>
            </w:pPr>
            <w:r>
              <w:rPr>
                <w:rFonts w:ascii="Times New Roman" w:hAnsi="Times New Roman" w:cs="Times New Roman"/>
              </w:rPr>
              <w:t>(</w:t>
            </w:r>
            <w:r w:rsidR="00207CFF">
              <w:rPr>
                <w:rFonts w:ascii="Times New Roman" w:hAnsi="Times New Roman" w:cs="Times New Roman"/>
              </w:rPr>
              <w:t>19.9</w:t>
            </w:r>
            <w:r w:rsidR="00855E3C">
              <w:rPr>
                <w:rFonts w:ascii="Times New Roman" w:hAnsi="Times New Roman" w:cs="Times New Roman"/>
              </w:rPr>
              <w:t>)</w:t>
            </w:r>
          </w:p>
        </w:tc>
        <w:tc>
          <w:tcPr>
            <w:tcW w:w="1890" w:type="dxa"/>
          </w:tcPr>
          <w:p w14:paraId="5D77B2E3" w14:textId="77777777" w:rsidR="00855E3C" w:rsidRDefault="00953F9C" w:rsidP="00AA6A7D">
            <w:pPr>
              <w:jc w:val="center"/>
              <w:rPr>
                <w:rFonts w:ascii="Times New Roman" w:hAnsi="Times New Roman" w:cs="Times New Roman"/>
              </w:rPr>
            </w:pPr>
            <w:r>
              <w:rPr>
                <w:rFonts w:ascii="Times New Roman" w:hAnsi="Times New Roman" w:cs="Times New Roman"/>
              </w:rPr>
              <w:t>-0.0</w:t>
            </w:r>
            <w:r w:rsidR="00286B48">
              <w:rPr>
                <w:rFonts w:ascii="Times New Roman" w:hAnsi="Times New Roman" w:cs="Times New Roman"/>
              </w:rPr>
              <w:t>87</w:t>
            </w:r>
          </w:p>
          <w:p w14:paraId="54168861" w14:textId="77777777" w:rsidR="00953F9C" w:rsidRPr="00855E3C" w:rsidRDefault="00F07170" w:rsidP="00286B48">
            <w:pPr>
              <w:jc w:val="center"/>
              <w:rPr>
                <w:rFonts w:ascii="Times New Roman" w:hAnsi="Times New Roman" w:cs="Times New Roman"/>
              </w:rPr>
            </w:pPr>
            <w:r>
              <w:rPr>
                <w:rFonts w:ascii="Times New Roman" w:hAnsi="Times New Roman" w:cs="Times New Roman"/>
              </w:rPr>
              <w:t>(</w:t>
            </w:r>
            <w:r w:rsidR="00286B48">
              <w:rPr>
                <w:rFonts w:ascii="Times New Roman" w:hAnsi="Times New Roman" w:cs="Times New Roman"/>
              </w:rPr>
              <w:t>28.49</w:t>
            </w:r>
            <w:r w:rsidR="00953F9C">
              <w:rPr>
                <w:rFonts w:ascii="Times New Roman" w:hAnsi="Times New Roman" w:cs="Times New Roman"/>
              </w:rPr>
              <w:t>)</w:t>
            </w:r>
          </w:p>
        </w:tc>
        <w:tc>
          <w:tcPr>
            <w:tcW w:w="1885" w:type="dxa"/>
          </w:tcPr>
          <w:p w14:paraId="7F7AC9E0" w14:textId="77777777" w:rsidR="00855E3C" w:rsidRPr="00855E3C" w:rsidRDefault="00121D61" w:rsidP="00AA6A7D">
            <w:pPr>
              <w:jc w:val="center"/>
              <w:rPr>
                <w:rFonts w:ascii="Times New Roman" w:hAnsi="Times New Roman" w:cs="Times New Roman"/>
              </w:rPr>
            </w:pPr>
            <w:r>
              <w:rPr>
                <w:rFonts w:ascii="Times New Roman" w:hAnsi="Times New Roman" w:cs="Times New Roman"/>
              </w:rPr>
              <w:t>2.69</w:t>
            </w:r>
          </w:p>
        </w:tc>
      </w:tr>
      <w:tr w:rsidR="00855E3C" w14:paraId="5228CD89" w14:textId="77777777" w:rsidTr="00855E3C">
        <w:tc>
          <w:tcPr>
            <w:tcW w:w="2042" w:type="dxa"/>
          </w:tcPr>
          <w:p w14:paraId="18B1257B" w14:textId="77777777" w:rsidR="00855E3C" w:rsidRPr="00855E3C" w:rsidRDefault="0069730C" w:rsidP="00A40474">
            <w:pPr>
              <w:rPr>
                <w:rFonts w:ascii="Times New Roman" w:hAnsi="Times New Roman" w:cs="Times New Roman"/>
              </w:rPr>
            </w:pPr>
            <w:r>
              <w:rPr>
                <w:rFonts w:ascii="Times New Roman" w:hAnsi="Times New Roman" w:cs="Times New Roman"/>
              </w:rPr>
              <w:t>C</w:t>
            </w:r>
            <w:r w:rsidR="0096085E">
              <w:rPr>
                <w:rFonts w:ascii="Times New Roman" w:hAnsi="Times New Roman" w:cs="Times New Roman"/>
              </w:rPr>
              <w:t>ou</w:t>
            </w:r>
            <w:r>
              <w:rPr>
                <w:rFonts w:ascii="Times New Roman" w:hAnsi="Times New Roman" w:cs="Times New Roman"/>
              </w:rPr>
              <w:t>nty Return to Firm Exp</w:t>
            </w:r>
          </w:p>
        </w:tc>
        <w:tc>
          <w:tcPr>
            <w:tcW w:w="1913" w:type="dxa"/>
          </w:tcPr>
          <w:p w14:paraId="5EF78F7C" w14:textId="77777777" w:rsidR="00855E3C" w:rsidRPr="00855E3C" w:rsidRDefault="0069730C" w:rsidP="00AA6A7D">
            <w:pPr>
              <w:jc w:val="center"/>
              <w:rPr>
                <w:rFonts w:ascii="Times New Roman" w:hAnsi="Times New Roman" w:cs="Times New Roman"/>
              </w:rPr>
            </w:pPr>
            <w:r>
              <w:rPr>
                <w:rFonts w:ascii="Times New Roman" w:hAnsi="Times New Roman" w:cs="Times New Roman"/>
              </w:rPr>
              <w:t>-1</w:t>
            </w:r>
            <w:r w:rsidR="001F4084">
              <w:rPr>
                <w:rFonts w:ascii="Times New Roman" w:hAnsi="Times New Roman" w:cs="Times New Roman"/>
              </w:rPr>
              <w:t>46.3</w:t>
            </w:r>
          </w:p>
          <w:p w14:paraId="5A4883E7" w14:textId="77777777" w:rsidR="00855E3C" w:rsidRPr="00855E3C" w:rsidRDefault="00855E3C" w:rsidP="001F4084">
            <w:pPr>
              <w:jc w:val="center"/>
              <w:rPr>
                <w:rFonts w:ascii="Times New Roman" w:hAnsi="Times New Roman" w:cs="Times New Roman"/>
              </w:rPr>
            </w:pPr>
            <w:r w:rsidRPr="00855E3C">
              <w:rPr>
                <w:rFonts w:ascii="Times New Roman" w:hAnsi="Times New Roman" w:cs="Times New Roman"/>
              </w:rPr>
              <w:t>(</w:t>
            </w:r>
            <w:r w:rsidR="001F4084">
              <w:rPr>
                <w:rFonts w:ascii="Times New Roman" w:hAnsi="Times New Roman" w:cs="Times New Roman"/>
              </w:rPr>
              <w:t>2.55</w:t>
            </w:r>
            <w:r w:rsidR="0069730C">
              <w:rPr>
                <w:rFonts w:ascii="Times New Roman" w:hAnsi="Times New Roman" w:cs="Times New Roman"/>
              </w:rPr>
              <w:t>)</w:t>
            </w:r>
          </w:p>
        </w:tc>
        <w:tc>
          <w:tcPr>
            <w:tcW w:w="1620" w:type="dxa"/>
          </w:tcPr>
          <w:p w14:paraId="2AF9186D" w14:textId="77777777" w:rsidR="00855E3C" w:rsidRDefault="001E7397" w:rsidP="00AA6A7D">
            <w:pPr>
              <w:jc w:val="center"/>
              <w:rPr>
                <w:rFonts w:ascii="Times New Roman" w:hAnsi="Times New Roman" w:cs="Times New Roman"/>
              </w:rPr>
            </w:pPr>
            <w:r>
              <w:rPr>
                <w:rFonts w:ascii="Times New Roman" w:hAnsi="Times New Roman" w:cs="Times New Roman"/>
              </w:rPr>
              <w:t>-0.</w:t>
            </w:r>
            <w:r w:rsidR="00207CFF">
              <w:rPr>
                <w:rFonts w:ascii="Times New Roman" w:hAnsi="Times New Roman" w:cs="Times New Roman"/>
              </w:rPr>
              <w:t>03</w:t>
            </w:r>
          </w:p>
          <w:p w14:paraId="312AC977" w14:textId="77777777" w:rsidR="00855E3C" w:rsidRPr="00855E3C" w:rsidRDefault="001E7397" w:rsidP="00207CFF">
            <w:pPr>
              <w:jc w:val="center"/>
              <w:rPr>
                <w:rFonts w:ascii="Times New Roman" w:hAnsi="Times New Roman" w:cs="Times New Roman"/>
              </w:rPr>
            </w:pPr>
            <w:r>
              <w:rPr>
                <w:rFonts w:ascii="Times New Roman" w:hAnsi="Times New Roman" w:cs="Times New Roman"/>
              </w:rPr>
              <w:t>(0.</w:t>
            </w:r>
            <w:r w:rsidR="00207CFF">
              <w:rPr>
                <w:rFonts w:ascii="Times New Roman" w:hAnsi="Times New Roman" w:cs="Times New Roman"/>
              </w:rPr>
              <w:t>20</w:t>
            </w:r>
            <w:r w:rsidR="00855E3C">
              <w:rPr>
                <w:rFonts w:ascii="Times New Roman" w:hAnsi="Times New Roman" w:cs="Times New Roman"/>
              </w:rPr>
              <w:t>)</w:t>
            </w:r>
          </w:p>
        </w:tc>
        <w:tc>
          <w:tcPr>
            <w:tcW w:w="1890" w:type="dxa"/>
          </w:tcPr>
          <w:p w14:paraId="517FB917" w14:textId="77777777" w:rsidR="00855E3C" w:rsidRDefault="005D7B25" w:rsidP="00AA6A7D">
            <w:pPr>
              <w:jc w:val="center"/>
              <w:rPr>
                <w:rFonts w:ascii="Times New Roman" w:hAnsi="Times New Roman" w:cs="Times New Roman"/>
              </w:rPr>
            </w:pPr>
            <w:r>
              <w:rPr>
                <w:rFonts w:ascii="Times New Roman" w:hAnsi="Times New Roman" w:cs="Times New Roman"/>
              </w:rPr>
              <w:t>-0.0</w:t>
            </w:r>
            <w:r w:rsidR="00C04E7E">
              <w:rPr>
                <w:rFonts w:ascii="Times New Roman" w:hAnsi="Times New Roman" w:cs="Times New Roman"/>
              </w:rPr>
              <w:t>20</w:t>
            </w:r>
          </w:p>
          <w:p w14:paraId="2BEC7F8C" w14:textId="77777777" w:rsidR="005D7B25" w:rsidRPr="00855E3C" w:rsidRDefault="00F07170"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3.11</w:t>
            </w:r>
            <w:r w:rsidR="005D7B25">
              <w:rPr>
                <w:rFonts w:ascii="Times New Roman" w:hAnsi="Times New Roman" w:cs="Times New Roman"/>
              </w:rPr>
              <w:t>)</w:t>
            </w:r>
          </w:p>
        </w:tc>
        <w:tc>
          <w:tcPr>
            <w:tcW w:w="1885" w:type="dxa"/>
          </w:tcPr>
          <w:p w14:paraId="2AE5EFAF" w14:textId="77777777" w:rsidR="00855E3C" w:rsidRPr="00855E3C" w:rsidRDefault="00121D61" w:rsidP="00AA6A7D">
            <w:pPr>
              <w:jc w:val="center"/>
              <w:rPr>
                <w:rFonts w:ascii="Times New Roman" w:hAnsi="Times New Roman" w:cs="Times New Roman"/>
              </w:rPr>
            </w:pPr>
            <w:r>
              <w:rPr>
                <w:rFonts w:ascii="Times New Roman" w:hAnsi="Times New Roman" w:cs="Times New Roman"/>
              </w:rPr>
              <w:t>14.326</w:t>
            </w:r>
          </w:p>
        </w:tc>
      </w:tr>
      <w:tr w:rsidR="00855E3C" w14:paraId="1C76F37C" w14:textId="77777777" w:rsidTr="00855E3C">
        <w:tc>
          <w:tcPr>
            <w:tcW w:w="2042" w:type="dxa"/>
          </w:tcPr>
          <w:p w14:paraId="0261ED1F" w14:textId="77777777" w:rsidR="00855E3C" w:rsidRPr="00855E3C" w:rsidRDefault="0069730C" w:rsidP="00A40474">
            <w:pPr>
              <w:rPr>
                <w:rFonts w:ascii="Times New Roman" w:hAnsi="Times New Roman" w:cs="Times New Roman"/>
              </w:rPr>
            </w:pPr>
            <w:r>
              <w:rPr>
                <w:rFonts w:ascii="Times New Roman" w:hAnsi="Times New Roman" w:cs="Times New Roman"/>
              </w:rPr>
              <w:t>C</w:t>
            </w:r>
            <w:r w:rsidR="0096085E">
              <w:rPr>
                <w:rFonts w:ascii="Times New Roman" w:hAnsi="Times New Roman" w:cs="Times New Roman"/>
              </w:rPr>
              <w:t>ou</w:t>
            </w:r>
            <w:r>
              <w:rPr>
                <w:rFonts w:ascii="Times New Roman" w:hAnsi="Times New Roman" w:cs="Times New Roman"/>
              </w:rPr>
              <w:t xml:space="preserve">nty </w:t>
            </w:r>
            <w:r w:rsidR="00121D61">
              <w:rPr>
                <w:rFonts w:ascii="Times New Roman" w:hAnsi="Times New Roman" w:cs="Times New Roman"/>
              </w:rPr>
              <w:t>%</w:t>
            </w:r>
            <w:r>
              <w:rPr>
                <w:rFonts w:ascii="Times New Roman" w:hAnsi="Times New Roman" w:cs="Times New Roman"/>
              </w:rPr>
              <w:t>Youth in youth-intensive Ind</w:t>
            </w:r>
          </w:p>
        </w:tc>
        <w:tc>
          <w:tcPr>
            <w:tcW w:w="1913" w:type="dxa"/>
          </w:tcPr>
          <w:p w14:paraId="01D26468" w14:textId="77777777" w:rsidR="00855E3C" w:rsidRPr="00855E3C" w:rsidRDefault="001F4084" w:rsidP="00AA6A7D">
            <w:pPr>
              <w:jc w:val="center"/>
              <w:rPr>
                <w:rFonts w:ascii="Times New Roman" w:hAnsi="Times New Roman" w:cs="Times New Roman"/>
              </w:rPr>
            </w:pPr>
            <w:r>
              <w:rPr>
                <w:rFonts w:ascii="Times New Roman" w:hAnsi="Times New Roman" w:cs="Times New Roman"/>
              </w:rPr>
              <w:t>188.8</w:t>
            </w:r>
          </w:p>
          <w:p w14:paraId="7F62885A" w14:textId="77777777" w:rsidR="00855E3C" w:rsidRPr="00855E3C" w:rsidRDefault="0069730C" w:rsidP="001F4084">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0.83</w:t>
            </w:r>
            <w:r>
              <w:rPr>
                <w:rFonts w:ascii="Times New Roman" w:hAnsi="Times New Roman" w:cs="Times New Roman"/>
              </w:rPr>
              <w:t>)</w:t>
            </w:r>
          </w:p>
        </w:tc>
        <w:tc>
          <w:tcPr>
            <w:tcW w:w="1620" w:type="dxa"/>
          </w:tcPr>
          <w:p w14:paraId="0215D9BC" w14:textId="77777777" w:rsidR="00855E3C" w:rsidRDefault="001E7397" w:rsidP="00AA6A7D">
            <w:pPr>
              <w:jc w:val="center"/>
              <w:rPr>
                <w:rFonts w:ascii="Times New Roman" w:hAnsi="Times New Roman" w:cs="Times New Roman"/>
              </w:rPr>
            </w:pPr>
            <w:r>
              <w:rPr>
                <w:rFonts w:ascii="Times New Roman" w:hAnsi="Times New Roman" w:cs="Times New Roman"/>
              </w:rPr>
              <w:t>1.</w:t>
            </w:r>
            <w:r w:rsidR="00207CFF">
              <w:rPr>
                <w:rFonts w:ascii="Times New Roman" w:hAnsi="Times New Roman" w:cs="Times New Roman"/>
              </w:rPr>
              <w:t>01</w:t>
            </w:r>
          </w:p>
          <w:p w14:paraId="1B4EA2A4" w14:textId="77777777" w:rsidR="00855E3C" w:rsidRPr="00855E3C" w:rsidRDefault="001E7397" w:rsidP="00207CFF">
            <w:pPr>
              <w:jc w:val="center"/>
              <w:rPr>
                <w:rFonts w:ascii="Times New Roman" w:hAnsi="Times New Roman" w:cs="Times New Roman"/>
              </w:rPr>
            </w:pPr>
            <w:r>
              <w:rPr>
                <w:rFonts w:ascii="Times New Roman" w:hAnsi="Times New Roman" w:cs="Times New Roman"/>
              </w:rPr>
              <w:t>(1.</w:t>
            </w:r>
            <w:r w:rsidR="00207CFF">
              <w:rPr>
                <w:rFonts w:ascii="Times New Roman" w:hAnsi="Times New Roman" w:cs="Times New Roman"/>
              </w:rPr>
              <w:t>53</w:t>
            </w:r>
            <w:r w:rsidR="00855E3C">
              <w:rPr>
                <w:rFonts w:ascii="Times New Roman" w:hAnsi="Times New Roman" w:cs="Times New Roman"/>
              </w:rPr>
              <w:t>)</w:t>
            </w:r>
          </w:p>
        </w:tc>
        <w:tc>
          <w:tcPr>
            <w:tcW w:w="1890" w:type="dxa"/>
          </w:tcPr>
          <w:p w14:paraId="32C240E7" w14:textId="77777777" w:rsidR="00855E3C" w:rsidRDefault="00F07170" w:rsidP="00AA6A7D">
            <w:pPr>
              <w:jc w:val="center"/>
              <w:rPr>
                <w:rFonts w:ascii="Times New Roman" w:hAnsi="Times New Roman" w:cs="Times New Roman"/>
              </w:rPr>
            </w:pPr>
            <w:r>
              <w:rPr>
                <w:rFonts w:ascii="Times New Roman" w:hAnsi="Times New Roman" w:cs="Times New Roman"/>
              </w:rPr>
              <w:t>0.0</w:t>
            </w:r>
            <w:r w:rsidR="00C04E7E">
              <w:rPr>
                <w:rFonts w:ascii="Times New Roman" w:hAnsi="Times New Roman" w:cs="Times New Roman"/>
              </w:rPr>
              <w:t>42</w:t>
            </w:r>
          </w:p>
          <w:p w14:paraId="6140A7CC" w14:textId="77777777" w:rsidR="005D7B25" w:rsidRPr="00855E3C" w:rsidRDefault="00F07170"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1.65</w:t>
            </w:r>
            <w:r w:rsidR="005D7B25">
              <w:rPr>
                <w:rFonts w:ascii="Times New Roman" w:hAnsi="Times New Roman" w:cs="Times New Roman"/>
              </w:rPr>
              <w:t>)</w:t>
            </w:r>
          </w:p>
        </w:tc>
        <w:tc>
          <w:tcPr>
            <w:tcW w:w="1885" w:type="dxa"/>
          </w:tcPr>
          <w:p w14:paraId="08721AB3" w14:textId="77777777" w:rsidR="00855E3C" w:rsidRPr="00855E3C" w:rsidRDefault="00121D61" w:rsidP="00AA6A7D">
            <w:pPr>
              <w:jc w:val="center"/>
              <w:rPr>
                <w:rFonts w:ascii="Times New Roman" w:hAnsi="Times New Roman" w:cs="Times New Roman"/>
              </w:rPr>
            </w:pPr>
            <w:r>
              <w:rPr>
                <w:rFonts w:ascii="Times New Roman" w:hAnsi="Times New Roman" w:cs="Times New Roman"/>
              </w:rPr>
              <w:t>4.120</w:t>
            </w:r>
          </w:p>
        </w:tc>
      </w:tr>
      <w:tr w:rsidR="0069730C" w14:paraId="1C86BFD0" w14:textId="77777777" w:rsidTr="00855E3C">
        <w:tc>
          <w:tcPr>
            <w:tcW w:w="2042" w:type="dxa"/>
          </w:tcPr>
          <w:p w14:paraId="1A67A734" w14:textId="77777777" w:rsidR="0069730C" w:rsidRPr="00855E3C" w:rsidRDefault="0069730C" w:rsidP="0096085E">
            <w:pPr>
              <w:rPr>
                <w:rFonts w:ascii="Times New Roman" w:hAnsi="Times New Roman" w:cs="Times New Roman"/>
              </w:rPr>
            </w:pPr>
            <w:r>
              <w:rPr>
                <w:rFonts w:ascii="Times New Roman" w:hAnsi="Times New Roman" w:cs="Times New Roman"/>
              </w:rPr>
              <w:t>C</w:t>
            </w:r>
            <w:r w:rsidR="0096085E">
              <w:rPr>
                <w:rFonts w:ascii="Times New Roman" w:hAnsi="Times New Roman" w:cs="Times New Roman"/>
              </w:rPr>
              <w:t>ou</w:t>
            </w:r>
            <w:r>
              <w:rPr>
                <w:rFonts w:ascii="Times New Roman" w:hAnsi="Times New Roman" w:cs="Times New Roman"/>
              </w:rPr>
              <w:t>nty %Youth ever Employed</w:t>
            </w:r>
          </w:p>
        </w:tc>
        <w:tc>
          <w:tcPr>
            <w:tcW w:w="1913" w:type="dxa"/>
          </w:tcPr>
          <w:p w14:paraId="1586307D" w14:textId="77777777" w:rsidR="0069730C" w:rsidRDefault="001F4084" w:rsidP="00AA6A7D">
            <w:pPr>
              <w:jc w:val="center"/>
              <w:rPr>
                <w:rFonts w:ascii="Times New Roman" w:hAnsi="Times New Roman" w:cs="Times New Roman"/>
              </w:rPr>
            </w:pPr>
            <w:r>
              <w:rPr>
                <w:rFonts w:ascii="Times New Roman" w:hAnsi="Times New Roman" w:cs="Times New Roman"/>
              </w:rPr>
              <w:t>-19.6</w:t>
            </w:r>
          </w:p>
          <w:p w14:paraId="57FEE088" w14:textId="77777777" w:rsidR="0069730C" w:rsidRDefault="0069730C" w:rsidP="001F4084">
            <w:pPr>
              <w:jc w:val="center"/>
              <w:rPr>
                <w:rFonts w:ascii="Times New Roman" w:hAnsi="Times New Roman" w:cs="Times New Roman"/>
              </w:rPr>
            </w:pPr>
            <w:r>
              <w:rPr>
                <w:rFonts w:ascii="Times New Roman" w:hAnsi="Times New Roman" w:cs="Times New Roman"/>
              </w:rPr>
              <w:t>(0.</w:t>
            </w:r>
            <w:r w:rsidR="001F4084">
              <w:rPr>
                <w:rFonts w:ascii="Times New Roman" w:hAnsi="Times New Roman" w:cs="Times New Roman"/>
              </w:rPr>
              <w:t>55</w:t>
            </w:r>
            <w:r>
              <w:rPr>
                <w:rFonts w:ascii="Times New Roman" w:hAnsi="Times New Roman" w:cs="Times New Roman"/>
              </w:rPr>
              <w:t>)</w:t>
            </w:r>
          </w:p>
        </w:tc>
        <w:tc>
          <w:tcPr>
            <w:tcW w:w="1620" w:type="dxa"/>
          </w:tcPr>
          <w:p w14:paraId="67F8B94A" w14:textId="77777777" w:rsidR="0069730C" w:rsidRDefault="001E7397" w:rsidP="00AA6A7D">
            <w:pPr>
              <w:jc w:val="center"/>
              <w:rPr>
                <w:rFonts w:ascii="Times New Roman" w:hAnsi="Times New Roman" w:cs="Times New Roman"/>
              </w:rPr>
            </w:pPr>
            <w:r>
              <w:rPr>
                <w:rFonts w:ascii="Times New Roman" w:hAnsi="Times New Roman" w:cs="Times New Roman"/>
              </w:rPr>
              <w:t>-0.</w:t>
            </w:r>
            <w:r w:rsidR="00207CFF">
              <w:rPr>
                <w:rFonts w:ascii="Times New Roman" w:hAnsi="Times New Roman" w:cs="Times New Roman"/>
              </w:rPr>
              <w:t>33</w:t>
            </w:r>
          </w:p>
          <w:p w14:paraId="4BE93DB3" w14:textId="77777777" w:rsidR="001E7397" w:rsidRDefault="001E7397" w:rsidP="00207CFF">
            <w:pPr>
              <w:jc w:val="center"/>
              <w:rPr>
                <w:rFonts w:ascii="Times New Roman" w:hAnsi="Times New Roman" w:cs="Times New Roman"/>
              </w:rPr>
            </w:pPr>
            <w:r>
              <w:rPr>
                <w:rFonts w:ascii="Times New Roman" w:hAnsi="Times New Roman" w:cs="Times New Roman"/>
              </w:rPr>
              <w:t>(</w:t>
            </w:r>
            <w:r w:rsidR="00207CFF">
              <w:rPr>
                <w:rFonts w:ascii="Times New Roman" w:hAnsi="Times New Roman" w:cs="Times New Roman"/>
              </w:rPr>
              <w:t>3.18</w:t>
            </w:r>
            <w:r>
              <w:rPr>
                <w:rFonts w:ascii="Times New Roman" w:hAnsi="Times New Roman" w:cs="Times New Roman"/>
              </w:rPr>
              <w:t>)</w:t>
            </w:r>
          </w:p>
        </w:tc>
        <w:tc>
          <w:tcPr>
            <w:tcW w:w="1890" w:type="dxa"/>
          </w:tcPr>
          <w:p w14:paraId="4DF0D27E" w14:textId="77777777" w:rsidR="0069730C" w:rsidRDefault="00F07170" w:rsidP="00AA6A7D">
            <w:pPr>
              <w:jc w:val="center"/>
              <w:rPr>
                <w:rFonts w:ascii="Times New Roman" w:hAnsi="Times New Roman" w:cs="Times New Roman"/>
              </w:rPr>
            </w:pPr>
            <w:r>
              <w:rPr>
                <w:rFonts w:ascii="Times New Roman" w:hAnsi="Times New Roman" w:cs="Times New Roman"/>
              </w:rPr>
              <w:t>-0.001</w:t>
            </w:r>
          </w:p>
          <w:p w14:paraId="2AC81D24" w14:textId="77777777" w:rsidR="00F07170"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2.09)</w:t>
            </w:r>
          </w:p>
        </w:tc>
        <w:tc>
          <w:tcPr>
            <w:tcW w:w="1885" w:type="dxa"/>
          </w:tcPr>
          <w:p w14:paraId="5A12C119" w14:textId="77777777" w:rsidR="0069730C" w:rsidRPr="00855E3C" w:rsidRDefault="00121D61" w:rsidP="00AA6A7D">
            <w:pPr>
              <w:jc w:val="center"/>
              <w:rPr>
                <w:rFonts w:ascii="Times New Roman" w:hAnsi="Times New Roman" w:cs="Times New Roman"/>
              </w:rPr>
            </w:pPr>
            <w:r>
              <w:rPr>
                <w:rFonts w:ascii="Times New Roman" w:hAnsi="Times New Roman" w:cs="Times New Roman"/>
              </w:rPr>
              <w:t>88.491</w:t>
            </w:r>
          </w:p>
        </w:tc>
      </w:tr>
      <w:tr w:rsidR="00855E3C" w14:paraId="5E7A57B0" w14:textId="77777777" w:rsidTr="00855E3C">
        <w:tc>
          <w:tcPr>
            <w:tcW w:w="2042" w:type="dxa"/>
          </w:tcPr>
          <w:p w14:paraId="78795F55" w14:textId="77777777" w:rsidR="00855E3C" w:rsidRPr="00855E3C" w:rsidRDefault="00855E3C" w:rsidP="00A40474">
            <w:pPr>
              <w:rPr>
                <w:rFonts w:ascii="Times New Roman" w:hAnsi="Times New Roman" w:cs="Times New Roman"/>
              </w:rPr>
            </w:pPr>
            <w:r w:rsidRPr="00855E3C">
              <w:rPr>
                <w:rFonts w:ascii="Times New Roman" w:hAnsi="Times New Roman" w:cs="Times New Roman"/>
              </w:rPr>
              <w:t>Gender</w:t>
            </w:r>
          </w:p>
        </w:tc>
        <w:tc>
          <w:tcPr>
            <w:tcW w:w="1913" w:type="dxa"/>
          </w:tcPr>
          <w:p w14:paraId="634B38BD" w14:textId="77777777" w:rsidR="00855E3C" w:rsidRPr="00855E3C" w:rsidRDefault="0069730C" w:rsidP="00AA6A7D">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846.0</w:t>
            </w:r>
          </w:p>
          <w:p w14:paraId="57CC840C" w14:textId="77777777" w:rsidR="00855E3C" w:rsidRPr="00855E3C" w:rsidRDefault="00855E3C" w:rsidP="001F4084">
            <w:pPr>
              <w:jc w:val="center"/>
              <w:rPr>
                <w:rFonts w:ascii="Times New Roman" w:hAnsi="Times New Roman" w:cs="Times New Roman"/>
              </w:rPr>
            </w:pPr>
            <w:r w:rsidRPr="00855E3C">
              <w:rPr>
                <w:rFonts w:ascii="Times New Roman" w:hAnsi="Times New Roman" w:cs="Times New Roman"/>
              </w:rPr>
              <w:t>(</w:t>
            </w:r>
            <w:r w:rsidR="001F4084">
              <w:rPr>
                <w:rFonts w:ascii="Times New Roman" w:hAnsi="Times New Roman" w:cs="Times New Roman"/>
              </w:rPr>
              <w:t>7.93</w:t>
            </w:r>
            <w:r w:rsidRPr="00855E3C">
              <w:rPr>
                <w:rFonts w:ascii="Times New Roman" w:hAnsi="Times New Roman" w:cs="Times New Roman"/>
              </w:rPr>
              <w:t>)</w:t>
            </w:r>
          </w:p>
        </w:tc>
        <w:tc>
          <w:tcPr>
            <w:tcW w:w="1620" w:type="dxa"/>
          </w:tcPr>
          <w:p w14:paraId="5BF2B4F2" w14:textId="77777777" w:rsidR="00855E3C" w:rsidRDefault="001E7397" w:rsidP="00AA6A7D">
            <w:pPr>
              <w:jc w:val="center"/>
              <w:rPr>
                <w:rFonts w:ascii="Times New Roman" w:hAnsi="Times New Roman" w:cs="Times New Roman"/>
              </w:rPr>
            </w:pPr>
            <w:r>
              <w:rPr>
                <w:rFonts w:ascii="Times New Roman" w:hAnsi="Times New Roman" w:cs="Times New Roman"/>
              </w:rPr>
              <w:t>-</w:t>
            </w:r>
            <w:r w:rsidR="00207CFF">
              <w:rPr>
                <w:rFonts w:ascii="Times New Roman" w:hAnsi="Times New Roman" w:cs="Times New Roman"/>
              </w:rPr>
              <w:t>2.69</w:t>
            </w:r>
          </w:p>
          <w:p w14:paraId="09149A09" w14:textId="77777777" w:rsidR="00855E3C" w:rsidRPr="00855E3C" w:rsidRDefault="00953F9C" w:rsidP="00207CFF">
            <w:pPr>
              <w:jc w:val="center"/>
              <w:rPr>
                <w:rFonts w:ascii="Times New Roman" w:hAnsi="Times New Roman" w:cs="Times New Roman"/>
              </w:rPr>
            </w:pPr>
            <w:r>
              <w:rPr>
                <w:rFonts w:ascii="Times New Roman" w:hAnsi="Times New Roman" w:cs="Times New Roman"/>
              </w:rPr>
              <w:t>(</w:t>
            </w:r>
            <w:r w:rsidR="00207CFF">
              <w:rPr>
                <w:rFonts w:ascii="Times New Roman" w:hAnsi="Times New Roman" w:cs="Times New Roman"/>
              </w:rPr>
              <w:t>8.70</w:t>
            </w:r>
            <w:r>
              <w:rPr>
                <w:rFonts w:ascii="Times New Roman" w:hAnsi="Times New Roman" w:cs="Times New Roman"/>
              </w:rPr>
              <w:t>)</w:t>
            </w:r>
          </w:p>
        </w:tc>
        <w:tc>
          <w:tcPr>
            <w:tcW w:w="1890" w:type="dxa"/>
          </w:tcPr>
          <w:p w14:paraId="7665F0E1" w14:textId="77777777" w:rsidR="00855E3C" w:rsidRDefault="00E05AFA" w:rsidP="00AA6A7D">
            <w:pPr>
              <w:jc w:val="center"/>
              <w:rPr>
                <w:rFonts w:ascii="Times New Roman" w:hAnsi="Times New Roman" w:cs="Times New Roman"/>
              </w:rPr>
            </w:pPr>
            <w:r>
              <w:rPr>
                <w:rFonts w:ascii="Times New Roman" w:hAnsi="Times New Roman" w:cs="Times New Roman"/>
              </w:rPr>
              <w:t>-0.0</w:t>
            </w:r>
            <w:r w:rsidR="00C04E7E">
              <w:rPr>
                <w:rFonts w:ascii="Times New Roman" w:hAnsi="Times New Roman" w:cs="Times New Roman"/>
              </w:rPr>
              <w:t>82</w:t>
            </w:r>
          </w:p>
          <w:p w14:paraId="3FD6EEFC" w14:textId="77777777" w:rsidR="005D7B25" w:rsidRPr="00855E3C" w:rsidRDefault="005D7B25"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6.97</w:t>
            </w:r>
            <w:r>
              <w:rPr>
                <w:rFonts w:ascii="Times New Roman" w:hAnsi="Times New Roman" w:cs="Times New Roman"/>
              </w:rPr>
              <w:t>)</w:t>
            </w:r>
          </w:p>
        </w:tc>
        <w:tc>
          <w:tcPr>
            <w:tcW w:w="1885" w:type="dxa"/>
          </w:tcPr>
          <w:p w14:paraId="339B0E24" w14:textId="77777777" w:rsidR="00855E3C" w:rsidRPr="00855E3C" w:rsidRDefault="00121D61" w:rsidP="00AA6A7D">
            <w:pPr>
              <w:jc w:val="center"/>
              <w:rPr>
                <w:rFonts w:ascii="Times New Roman" w:hAnsi="Times New Roman" w:cs="Times New Roman"/>
              </w:rPr>
            </w:pPr>
            <w:r>
              <w:rPr>
                <w:rFonts w:ascii="Times New Roman" w:hAnsi="Times New Roman" w:cs="Times New Roman"/>
              </w:rPr>
              <w:t>1.659</w:t>
            </w:r>
          </w:p>
        </w:tc>
      </w:tr>
      <w:tr w:rsidR="00855E3C" w14:paraId="4A65C0E2" w14:textId="77777777" w:rsidTr="00855E3C">
        <w:tc>
          <w:tcPr>
            <w:tcW w:w="2042" w:type="dxa"/>
          </w:tcPr>
          <w:p w14:paraId="1682E843" w14:textId="77777777" w:rsidR="00855E3C" w:rsidRPr="00855E3C" w:rsidRDefault="00855E3C" w:rsidP="00535C9A">
            <w:pPr>
              <w:rPr>
                <w:rFonts w:ascii="Times New Roman" w:hAnsi="Times New Roman" w:cs="Times New Roman"/>
              </w:rPr>
            </w:pPr>
            <w:r w:rsidRPr="00855E3C">
              <w:rPr>
                <w:rFonts w:ascii="Times New Roman" w:hAnsi="Times New Roman" w:cs="Times New Roman"/>
              </w:rPr>
              <w:t xml:space="preserve">#Months SNAP </w:t>
            </w:r>
          </w:p>
        </w:tc>
        <w:tc>
          <w:tcPr>
            <w:tcW w:w="1913" w:type="dxa"/>
          </w:tcPr>
          <w:p w14:paraId="37150657" w14:textId="77777777" w:rsidR="00855E3C" w:rsidRPr="00855E3C" w:rsidRDefault="0069730C" w:rsidP="00AA6A7D">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2</w:t>
            </w:r>
            <w:r>
              <w:rPr>
                <w:rFonts w:ascii="Times New Roman" w:hAnsi="Times New Roman" w:cs="Times New Roman"/>
              </w:rPr>
              <w:t>.3</w:t>
            </w:r>
          </w:p>
          <w:p w14:paraId="3CA113B1" w14:textId="77777777" w:rsidR="00855E3C" w:rsidRPr="00855E3C" w:rsidRDefault="0069730C" w:rsidP="001F4084">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2.62</w:t>
            </w:r>
            <w:r w:rsidR="00855E3C" w:rsidRPr="00855E3C">
              <w:rPr>
                <w:rFonts w:ascii="Times New Roman" w:hAnsi="Times New Roman" w:cs="Times New Roman"/>
              </w:rPr>
              <w:t>)</w:t>
            </w:r>
          </w:p>
        </w:tc>
        <w:tc>
          <w:tcPr>
            <w:tcW w:w="1620" w:type="dxa"/>
          </w:tcPr>
          <w:p w14:paraId="0A7D5036" w14:textId="77777777" w:rsidR="00855E3C" w:rsidRDefault="00953F9C" w:rsidP="00AA6A7D">
            <w:pPr>
              <w:jc w:val="center"/>
              <w:rPr>
                <w:rFonts w:ascii="Times New Roman" w:hAnsi="Times New Roman" w:cs="Times New Roman"/>
              </w:rPr>
            </w:pPr>
            <w:r>
              <w:rPr>
                <w:rFonts w:ascii="Times New Roman" w:hAnsi="Times New Roman" w:cs="Times New Roman"/>
              </w:rPr>
              <w:t>-</w:t>
            </w:r>
            <w:r w:rsidR="001E7397">
              <w:rPr>
                <w:rFonts w:ascii="Times New Roman" w:hAnsi="Times New Roman" w:cs="Times New Roman"/>
              </w:rPr>
              <w:t>0.0</w:t>
            </w:r>
            <w:r w:rsidR="00207CFF">
              <w:rPr>
                <w:rFonts w:ascii="Times New Roman" w:hAnsi="Times New Roman" w:cs="Times New Roman"/>
              </w:rPr>
              <w:t>03</w:t>
            </w:r>
          </w:p>
          <w:p w14:paraId="047AD21B" w14:textId="77777777" w:rsidR="00953F9C" w:rsidRPr="00855E3C" w:rsidRDefault="001E7397" w:rsidP="00207CFF">
            <w:pPr>
              <w:jc w:val="center"/>
              <w:rPr>
                <w:rFonts w:ascii="Times New Roman" w:hAnsi="Times New Roman" w:cs="Times New Roman"/>
              </w:rPr>
            </w:pPr>
            <w:r>
              <w:rPr>
                <w:rFonts w:ascii="Times New Roman" w:hAnsi="Times New Roman" w:cs="Times New Roman"/>
              </w:rPr>
              <w:t>(</w:t>
            </w:r>
            <w:r w:rsidR="00207CFF">
              <w:rPr>
                <w:rFonts w:ascii="Times New Roman" w:hAnsi="Times New Roman" w:cs="Times New Roman"/>
              </w:rPr>
              <w:t>1.14</w:t>
            </w:r>
            <w:r w:rsidR="00953F9C">
              <w:rPr>
                <w:rFonts w:ascii="Times New Roman" w:hAnsi="Times New Roman" w:cs="Times New Roman"/>
              </w:rPr>
              <w:t>)</w:t>
            </w:r>
          </w:p>
        </w:tc>
        <w:tc>
          <w:tcPr>
            <w:tcW w:w="1890" w:type="dxa"/>
          </w:tcPr>
          <w:p w14:paraId="76DB08E8" w14:textId="77777777" w:rsidR="00855E3C" w:rsidRDefault="005D7B25" w:rsidP="00AA6A7D">
            <w:pPr>
              <w:jc w:val="center"/>
              <w:rPr>
                <w:rFonts w:ascii="Times New Roman" w:hAnsi="Times New Roman" w:cs="Times New Roman"/>
              </w:rPr>
            </w:pPr>
            <w:r>
              <w:rPr>
                <w:rFonts w:ascii="Times New Roman" w:hAnsi="Times New Roman" w:cs="Times New Roman"/>
              </w:rPr>
              <w:t>-0.000</w:t>
            </w:r>
            <w:r w:rsidR="00C04E7E">
              <w:rPr>
                <w:rFonts w:ascii="Times New Roman" w:hAnsi="Times New Roman" w:cs="Times New Roman"/>
              </w:rPr>
              <w:t>4</w:t>
            </w:r>
          </w:p>
          <w:p w14:paraId="4BF1A7D6" w14:textId="77777777" w:rsidR="005D7B25" w:rsidRPr="00855E3C"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3.68</w:t>
            </w:r>
            <w:r w:rsidR="005D7B25">
              <w:rPr>
                <w:rFonts w:ascii="Times New Roman" w:hAnsi="Times New Roman" w:cs="Times New Roman"/>
              </w:rPr>
              <w:t>)</w:t>
            </w:r>
          </w:p>
        </w:tc>
        <w:tc>
          <w:tcPr>
            <w:tcW w:w="1885" w:type="dxa"/>
          </w:tcPr>
          <w:p w14:paraId="10C0AAD1" w14:textId="77777777" w:rsidR="00855E3C" w:rsidRPr="00855E3C" w:rsidRDefault="00121D61" w:rsidP="00AA6A7D">
            <w:pPr>
              <w:jc w:val="center"/>
              <w:rPr>
                <w:rFonts w:ascii="Times New Roman" w:hAnsi="Times New Roman" w:cs="Times New Roman"/>
              </w:rPr>
            </w:pPr>
            <w:r>
              <w:rPr>
                <w:rFonts w:ascii="Times New Roman" w:hAnsi="Times New Roman" w:cs="Times New Roman"/>
              </w:rPr>
              <w:t>48.59</w:t>
            </w:r>
          </w:p>
        </w:tc>
      </w:tr>
      <w:tr w:rsidR="00855E3C" w14:paraId="4E333C7A" w14:textId="77777777" w:rsidTr="00855E3C">
        <w:tc>
          <w:tcPr>
            <w:tcW w:w="2042" w:type="dxa"/>
          </w:tcPr>
          <w:p w14:paraId="3CA57757" w14:textId="77777777" w:rsidR="00855E3C" w:rsidRPr="00855E3C" w:rsidRDefault="00855E3C" w:rsidP="00535C9A">
            <w:pPr>
              <w:rPr>
                <w:rFonts w:ascii="Times New Roman" w:hAnsi="Times New Roman" w:cs="Times New Roman"/>
              </w:rPr>
            </w:pPr>
            <w:r w:rsidRPr="00855E3C">
              <w:rPr>
                <w:rFonts w:ascii="Times New Roman" w:hAnsi="Times New Roman" w:cs="Times New Roman"/>
              </w:rPr>
              <w:t>#Months TANF</w:t>
            </w:r>
          </w:p>
        </w:tc>
        <w:tc>
          <w:tcPr>
            <w:tcW w:w="1913" w:type="dxa"/>
          </w:tcPr>
          <w:p w14:paraId="32E02B42" w14:textId="77777777" w:rsidR="00855E3C" w:rsidRPr="00855E3C" w:rsidRDefault="0069730C" w:rsidP="00AA6A7D">
            <w:pPr>
              <w:jc w:val="center"/>
              <w:rPr>
                <w:rFonts w:ascii="Times New Roman" w:hAnsi="Times New Roman" w:cs="Times New Roman"/>
              </w:rPr>
            </w:pPr>
            <w:r>
              <w:rPr>
                <w:rFonts w:ascii="Times New Roman" w:hAnsi="Times New Roman" w:cs="Times New Roman"/>
              </w:rPr>
              <w:t>3.</w:t>
            </w:r>
            <w:r w:rsidR="001F4084">
              <w:rPr>
                <w:rFonts w:ascii="Times New Roman" w:hAnsi="Times New Roman" w:cs="Times New Roman"/>
              </w:rPr>
              <w:t>88</w:t>
            </w:r>
          </w:p>
          <w:p w14:paraId="5CE856F8" w14:textId="77777777" w:rsidR="00855E3C" w:rsidRPr="00855E3C" w:rsidRDefault="0069730C" w:rsidP="001F4084">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2.93</w:t>
            </w:r>
            <w:r w:rsidR="00855E3C" w:rsidRPr="00855E3C">
              <w:rPr>
                <w:rFonts w:ascii="Times New Roman" w:hAnsi="Times New Roman" w:cs="Times New Roman"/>
              </w:rPr>
              <w:t>)</w:t>
            </w:r>
          </w:p>
        </w:tc>
        <w:tc>
          <w:tcPr>
            <w:tcW w:w="1620" w:type="dxa"/>
          </w:tcPr>
          <w:p w14:paraId="585D59AF" w14:textId="77777777" w:rsidR="00855E3C" w:rsidRDefault="00953F9C" w:rsidP="00AA6A7D">
            <w:pPr>
              <w:jc w:val="center"/>
              <w:rPr>
                <w:rFonts w:ascii="Times New Roman" w:hAnsi="Times New Roman" w:cs="Times New Roman"/>
              </w:rPr>
            </w:pPr>
            <w:r>
              <w:rPr>
                <w:rFonts w:ascii="Times New Roman" w:hAnsi="Times New Roman" w:cs="Times New Roman"/>
              </w:rPr>
              <w:t>0.01</w:t>
            </w:r>
          </w:p>
          <w:p w14:paraId="10467681" w14:textId="77777777" w:rsidR="00953F9C" w:rsidRPr="00855E3C" w:rsidRDefault="00953F9C" w:rsidP="00207CFF">
            <w:pPr>
              <w:jc w:val="center"/>
              <w:rPr>
                <w:rFonts w:ascii="Times New Roman" w:hAnsi="Times New Roman" w:cs="Times New Roman"/>
              </w:rPr>
            </w:pPr>
            <w:r>
              <w:rPr>
                <w:rFonts w:ascii="Times New Roman" w:hAnsi="Times New Roman" w:cs="Times New Roman"/>
              </w:rPr>
              <w:t>(</w:t>
            </w:r>
            <w:r w:rsidR="00207CFF">
              <w:rPr>
                <w:rFonts w:ascii="Times New Roman" w:hAnsi="Times New Roman" w:cs="Times New Roman"/>
              </w:rPr>
              <w:t>2.8</w:t>
            </w:r>
            <w:r w:rsidR="00562FFA">
              <w:rPr>
                <w:rFonts w:ascii="Times New Roman" w:hAnsi="Times New Roman" w:cs="Times New Roman"/>
              </w:rPr>
              <w:t>7</w:t>
            </w:r>
            <w:r>
              <w:rPr>
                <w:rFonts w:ascii="Times New Roman" w:hAnsi="Times New Roman" w:cs="Times New Roman"/>
              </w:rPr>
              <w:t>)</w:t>
            </w:r>
          </w:p>
        </w:tc>
        <w:tc>
          <w:tcPr>
            <w:tcW w:w="1890" w:type="dxa"/>
          </w:tcPr>
          <w:p w14:paraId="7A3CE3DD" w14:textId="77777777" w:rsidR="00855E3C" w:rsidRDefault="00E05AFA" w:rsidP="00AA6A7D">
            <w:pPr>
              <w:jc w:val="center"/>
              <w:rPr>
                <w:rFonts w:ascii="Times New Roman" w:hAnsi="Times New Roman" w:cs="Times New Roman"/>
              </w:rPr>
            </w:pPr>
            <w:r>
              <w:rPr>
                <w:rFonts w:ascii="Times New Roman" w:hAnsi="Times New Roman" w:cs="Times New Roman"/>
              </w:rPr>
              <w:t>0.000</w:t>
            </w:r>
            <w:r w:rsidR="00C04E7E">
              <w:rPr>
                <w:rFonts w:ascii="Times New Roman" w:hAnsi="Times New Roman" w:cs="Times New Roman"/>
              </w:rPr>
              <w:t>6</w:t>
            </w:r>
          </w:p>
          <w:p w14:paraId="0CFE8D8C" w14:textId="77777777" w:rsidR="005D7B25" w:rsidRPr="00855E3C"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4.11</w:t>
            </w:r>
            <w:r w:rsidR="005D7B25">
              <w:rPr>
                <w:rFonts w:ascii="Times New Roman" w:hAnsi="Times New Roman" w:cs="Times New Roman"/>
              </w:rPr>
              <w:t>)</w:t>
            </w:r>
          </w:p>
        </w:tc>
        <w:tc>
          <w:tcPr>
            <w:tcW w:w="1885" w:type="dxa"/>
          </w:tcPr>
          <w:p w14:paraId="1C88FBDE" w14:textId="77777777" w:rsidR="00855E3C" w:rsidRPr="00855E3C" w:rsidRDefault="00121D61" w:rsidP="00AA6A7D">
            <w:pPr>
              <w:jc w:val="center"/>
              <w:rPr>
                <w:rFonts w:ascii="Times New Roman" w:hAnsi="Times New Roman" w:cs="Times New Roman"/>
              </w:rPr>
            </w:pPr>
            <w:r>
              <w:rPr>
                <w:rFonts w:ascii="Times New Roman" w:hAnsi="Times New Roman" w:cs="Times New Roman"/>
              </w:rPr>
              <w:t>21.93</w:t>
            </w:r>
          </w:p>
        </w:tc>
      </w:tr>
      <w:tr w:rsidR="00855E3C" w14:paraId="4E6612CB" w14:textId="77777777" w:rsidTr="00855E3C">
        <w:tc>
          <w:tcPr>
            <w:tcW w:w="2042" w:type="dxa"/>
          </w:tcPr>
          <w:p w14:paraId="1EA40371" w14:textId="77777777" w:rsidR="00855E3C" w:rsidRPr="00855E3C" w:rsidRDefault="00855E3C" w:rsidP="00535C9A">
            <w:pPr>
              <w:rPr>
                <w:rFonts w:ascii="Times New Roman" w:hAnsi="Times New Roman" w:cs="Times New Roman"/>
              </w:rPr>
            </w:pPr>
            <w:r w:rsidRPr="00855E3C">
              <w:rPr>
                <w:rFonts w:ascii="Times New Roman" w:hAnsi="Times New Roman" w:cs="Times New Roman"/>
              </w:rPr>
              <w:t>Highest Grade Completed</w:t>
            </w:r>
          </w:p>
        </w:tc>
        <w:tc>
          <w:tcPr>
            <w:tcW w:w="1913" w:type="dxa"/>
          </w:tcPr>
          <w:p w14:paraId="1524C7D7" w14:textId="77777777" w:rsidR="00855E3C" w:rsidRPr="00855E3C" w:rsidRDefault="001F4084" w:rsidP="00AA6A7D">
            <w:pPr>
              <w:jc w:val="center"/>
              <w:rPr>
                <w:rFonts w:ascii="Times New Roman" w:hAnsi="Times New Roman" w:cs="Times New Roman"/>
              </w:rPr>
            </w:pPr>
            <w:r>
              <w:rPr>
                <w:rFonts w:ascii="Times New Roman" w:hAnsi="Times New Roman" w:cs="Times New Roman"/>
              </w:rPr>
              <w:t>-123.1</w:t>
            </w:r>
          </w:p>
          <w:p w14:paraId="3F134904" w14:textId="77777777" w:rsidR="00855E3C" w:rsidRPr="00855E3C" w:rsidRDefault="001F4084" w:rsidP="00AA6A7D">
            <w:pPr>
              <w:jc w:val="center"/>
              <w:rPr>
                <w:rFonts w:ascii="Times New Roman" w:hAnsi="Times New Roman" w:cs="Times New Roman"/>
              </w:rPr>
            </w:pPr>
            <w:r>
              <w:rPr>
                <w:rFonts w:ascii="Times New Roman" w:hAnsi="Times New Roman" w:cs="Times New Roman"/>
              </w:rPr>
              <w:t>4.46</w:t>
            </w:r>
          </w:p>
        </w:tc>
        <w:tc>
          <w:tcPr>
            <w:tcW w:w="1620" w:type="dxa"/>
          </w:tcPr>
          <w:p w14:paraId="61E4E3FC" w14:textId="77777777" w:rsidR="00855E3C" w:rsidRDefault="001E7397" w:rsidP="00AA6A7D">
            <w:pPr>
              <w:jc w:val="center"/>
              <w:rPr>
                <w:rFonts w:ascii="Times New Roman" w:hAnsi="Times New Roman" w:cs="Times New Roman"/>
              </w:rPr>
            </w:pPr>
            <w:r>
              <w:rPr>
                <w:rFonts w:ascii="Times New Roman" w:hAnsi="Times New Roman" w:cs="Times New Roman"/>
              </w:rPr>
              <w:t>-0.</w:t>
            </w:r>
            <w:r w:rsidR="00562FFA">
              <w:rPr>
                <w:rFonts w:ascii="Times New Roman" w:hAnsi="Times New Roman" w:cs="Times New Roman"/>
              </w:rPr>
              <w:t>83</w:t>
            </w:r>
          </w:p>
          <w:p w14:paraId="250B29F8" w14:textId="77777777" w:rsidR="00953F9C" w:rsidRPr="00855E3C" w:rsidRDefault="001E7397" w:rsidP="00562FFA">
            <w:pPr>
              <w:jc w:val="center"/>
              <w:rPr>
                <w:rFonts w:ascii="Times New Roman" w:hAnsi="Times New Roman" w:cs="Times New Roman"/>
              </w:rPr>
            </w:pPr>
            <w:r>
              <w:rPr>
                <w:rFonts w:ascii="Times New Roman" w:hAnsi="Times New Roman" w:cs="Times New Roman"/>
              </w:rPr>
              <w:t>(1</w:t>
            </w:r>
            <w:r w:rsidR="00562FFA">
              <w:rPr>
                <w:rFonts w:ascii="Times New Roman" w:hAnsi="Times New Roman" w:cs="Times New Roman"/>
              </w:rPr>
              <w:t>0.36</w:t>
            </w:r>
            <w:r w:rsidR="00953F9C">
              <w:rPr>
                <w:rFonts w:ascii="Times New Roman" w:hAnsi="Times New Roman" w:cs="Times New Roman"/>
              </w:rPr>
              <w:t>)</w:t>
            </w:r>
          </w:p>
        </w:tc>
        <w:tc>
          <w:tcPr>
            <w:tcW w:w="1890" w:type="dxa"/>
          </w:tcPr>
          <w:p w14:paraId="3855C664" w14:textId="77777777" w:rsidR="00855E3C" w:rsidRDefault="00E05AFA" w:rsidP="00AA6A7D">
            <w:pPr>
              <w:jc w:val="center"/>
              <w:rPr>
                <w:rFonts w:ascii="Times New Roman" w:hAnsi="Times New Roman" w:cs="Times New Roman"/>
              </w:rPr>
            </w:pPr>
            <w:r>
              <w:rPr>
                <w:rFonts w:ascii="Times New Roman" w:hAnsi="Times New Roman" w:cs="Times New Roman"/>
              </w:rPr>
              <w:t>-0.0</w:t>
            </w:r>
            <w:r w:rsidR="00C04E7E">
              <w:rPr>
                <w:rFonts w:ascii="Times New Roman" w:hAnsi="Times New Roman" w:cs="Times New Roman"/>
              </w:rPr>
              <w:t>36</w:t>
            </w:r>
          </w:p>
          <w:p w14:paraId="4DA8C61D" w14:textId="77777777" w:rsidR="00F30C08" w:rsidRPr="00855E3C"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11.83</w:t>
            </w:r>
            <w:r w:rsidR="00F30C08">
              <w:rPr>
                <w:rFonts w:ascii="Times New Roman" w:hAnsi="Times New Roman" w:cs="Times New Roman"/>
              </w:rPr>
              <w:t>)</w:t>
            </w:r>
          </w:p>
        </w:tc>
        <w:tc>
          <w:tcPr>
            <w:tcW w:w="1885" w:type="dxa"/>
          </w:tcPr>
          <w:p w14:paraId="5EC533EE" w14:textId="77777777" w:rsidR="00855E3C" w:rsidRPr="00855E3C" w:rsidRDefault="00BA1EA8" w:rsidP="00AA6A7D">
            <w:pPr>
              <w:jc w:val="center"/>
              <w:rPr>
                <w:rFonts w:ascii="Times New Roman" w:hAnsi="Times New Roman" w:cs="Times New Roman"/>
              </w:rPr>
            </w:pPr>
            <w:r>
              <w:rPr>
                <w:rFonts w:ascii="Times New Roman" w:hAnsi="Times New Roman" w:cs="Times New Roman"/>
              </w:rPr>
              <w:t>10.40</w:t>
            </w:r>
          </w:p>
        </w:tc>
      </w:tr>
      <w:tr w:rsidR="00855E3C" w14:paraId="299270D1" w14:textId="77777777" w:rsidTr="00855E3C">
        <w:tc>
          <w:tcPr>
            <w:tcW w:w="2042" w:type="dxa"/>
          </w:tcPr>
          <w:p w14:paraId="3CEBCDB6" w14:textId="77777777" w:rsidR="00855E3C" w:rsidRPr="00855E3C" w:rsidRDefault="00855E3C" w:rsidP="00535C9A">
            <w:pPr>
              <w:rPr>
                <w:rFonts w:ascii="Times New Roman" w:hAnsi="Times New Roman" w:cs="Times New Roman"/>
              </w:rPr>
            </w:pPr>
            <w:r w:rsidRPr="00855E3C">
              <w:rPr>
                <w:rFonts w:ascii="Times New Roman" w:hAnsi="Times New Roman" w:cs="Times New Roman"/>
              </w:rPr>
              <w:t>Had IEP in School</w:t>
            </w:r>
          </w:p>
        </w:tc>
        <w:tc>
          <w:tcPr>
            <w:tcW w:w="1913" w:type="dxa"/>
          </w:tcPr>
          <w:p w14:paraId="3D3FA266" w14:textId="77777777" w:rsidR="00855E3C" w:rsidRPr="00855E3C" w:rsidRDefault="001F4084" w:rsidP="00AA6A7D">
            <w:pPr>
              <w:jc w:val="center"/>
              <w:rPr>
                <w:rFonts w:ascii="Times New Roman" w:hAnsi="Times New Roman" w:cs="Times New Roman"/>
              </w:rPr>
            </w:pPr>
            <w:r>
              <w:rPr>
                <w:rFonts w:ascii="Times New Roman" w:hAnsi="Times New Roman" w:cs="Times New Roman"/>
              </w:rPr>
              <w:t>227.2</w:t>
            </w:r>
          </w:p>
          <w:p w14:paraId="4D45F061" w14:textId="77777777" w:rsidR="00855E3C" w:rsidRPr="00855E3C" w:rsidRDefault="0069730C" w:rsidP="001F4084">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2.32</w:t>
            </w:r>
            <w:r w:rsidR="00855E3C" w:rsidRPr="00855E3C">
              <w:rPr>
                <w:rFonts w:ascii="Times New Roman" w:hAnsi="Times New Roman" w:cs="Times New Roman"/>
              </w:rPr>
              <w:t>)</w:t>
            </w:r>
          </w:p>
        </w:tc>
        <w:tc>
          <w:tcPr>
            <w:tcW w:w="1620" w:type="dxa"/>
          </w:tcPr>
          <w:p w14:paraId="0F23A477" w14:textId="77777777" w:rsidR="00855E3C" w:rsidRDefault="00562FFA" w:rsidP="00AA6A7D">
            <w:pPr>
              <w:jc w:val="center"/>
              <w:rPr>
                <w:rFonts w:ascii="Times New Roman" w:hAnsi="Times New Roman" w:cs="Times New Roman"/>
              </w:rPr>
            </w:pPr>
            <w:r>
              <w:rPr>
                <w:rFonts w:ascii="Times New Roman" w:hAnsi="Times New Roman" w:cs="Times New Roman"/>
              </w:rPr>
              <w:t>1.54</w:t>
            </w:r>
          </w:p>
          <w:p w14:paraId="656919EF" w14:textId="77777777" w:rsidR="00953F9C" w:rsidRPr="00855E3C" w:rsidRDefault="001E7397" w:rsidP="00562FFA">
            <w:pPr>
              <w:jc w:val="center"/>
              <w:rPr>
                <w:rFonts w:ascii="Times New Roman" w:hAnsi="Times New Roman" w:cs="Times New Roman"/>
              </w:rPr>
            </w:pPr>
            <w:r>
              <w:rPr>
                <w:rFonts w:ascii="Times New Roman" w:hAnsi="Times New Roman" w:cs="Times New Roman"/>
              </w:rPr>
              <w:t>(</w:t>
            </w:r>
            <w:r w:rsidR="00562FFA">
              <w:rPr>
                <w:rFonts w:ascii="Times New Roman" w:hAnsi="Times New Roman" w:cs="Times New Roman"/>
              </w:rPr>
              <w:t>5.43</w:t>
            </w:r>
            <w:r w:rsidR="00953F9C">
              <w:rPr>
                <w:rFonts w:ascii="Times New Roman" w:hAnsi="Times New Roman" w:cs="Times New Roman"/>
              </w:rPr>
              <w:t>)</w:t>
            </w:r>
          </w:p>
        </w:tc>
        <w:tc>
          <w:tcPr>
            <w:tcW w:w="1890" w:type="dxa"/>
          </w:tcPr>
          <w:p w14:paraId="0C14C237" w14:textId="77777777" w:rsidR="00855E3C" w:rsidRDefault="00C04E7E" w:rsidP="00AA6A7D">
            <w:pPr>
              <w:jc w:val="center"/>
              <w:rPr>
                <w:rFonts w:ascii="Times New Roman" w:hAnsi="Times New Roman" w:cs="Times New Roman"/>
              </w:rPr>
            </w:pPr>
            <w:r>
              <w:rPr>
                <w:rFonts w:ascii="Times New Roman" w:hAnsi="Times New Roman" w:cs="Times New Roman"/>
              </w:rPr>
              <w:t>0.53</w:t>
            </w:r>
          </w:p>
          <w:p w14:paraId="136B6A09" w14:textId="77777777" w:rsidR="00F30C08" w:rsidRPr="00855E3C"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4.88</w:t>
            </w:r>
            <w:r w:rsidR="00F30C08">
              <w:rPr>
                <w:rFonts w:ascii="Times New Roman" w:hAnsi="Times New Roman" w:cs="Times New Roman"/>
              </w:rPr>
              <w:t>)</w:t>
            </w:r>
          </w:p>
        </w:tc>
        <w:tc>
          <w:tcPr>
            <w:tcW w:w="1885" w:type="dxa"/>
          </w:tcPr>
          <w:p w14:paraId="1ACF9BA3" w14:textId="77777777" w:rsidR="00855E3C" w:rsidRPr="00855E3C" w:rsidRDefault="00BA1EA8" w:rsidP="00AA6A7D">
            <w:pPr>
              <w:jc w:val="center"/>
              <w:rPr>
                <w:rFonts w:ascii="Times New Roman" w:hAnsi="Times New Roman" w:cs="Times New Roman"/>
              </w:rPr>
            </w:pPr>
            <w:r>
              <w:rPr>
                <w:rFonts w:ascii="Times New Roman" w:hAnsi="Times New Roman" w:cs="Times New Roman"/>
              </w:rPr>
              <w:t>0.249</w:t>
            </w:r>
          </w:p>
        </w:tc>
      </w:tr>
      <w:tr w:rsidR="00855E3C" w14:paraId="012ED11C" w14:textId="77777777" w:rsidTr="00855E3C">
        <w:tc>
          <w:tcPr>
            <w:tcW w:w="2042" w:type="dxa"/>
          </w:tcPr>
          <w:p w14:paraId="71FEC908" w14:textId="77777777" w:rsidR="00855E3C" w:rsidRPr="00855E3C" w:rsidRDefault="00855E3C" w:rsidP="00535C9A">
            <w:pPr>
              <w:rPr>
                <w:rFonts w:ascii="Times New Roman" w:hAnsi="Times New Roman" w:cs="Times New Roman"/>
              </w:rPr>
            </w:pPr>
            <w:r w:rsidRPr="00855E3C">
              <w:rPr>
                <w:rFonts w:ascii="Times New Roman" w:hAnsi="Times New Roman" w:cs="Times New Roman"/>
              </w:rPr>
              <w:t>Has Reliable Transportation</w:t>
            </w:r>
          </w:p>
        </w:tc>
        <w:tc>
          <w:tcPr>
            <w:tcW w:w="1913" w:type="dxa"/>
          </w:tcPr>
          <w:p w14:paraId="56732035" w14:textId="77777777" w:rsidR="00855E3C" w:rsidRPr="00855E3C" w:rsidRDefault="001F4084" w:rsidP="00AA6A7D">
            <w:pPr>
              <w:jc w:val="center"/>
              <w:rPr>
                <w:rFonts w:ascii="Times New Roman" w:hAnsi="Times New Roman" w:cs="Times New Roman"/>
              </w:rPr>
            </w:pPr>
            <w:r>
              <w:rPr>
                <w:rFonts w:ascii="Times New Roman" w:hAnsi="Times New Roman" w:cs="Times New Roman"/>
              </w:rPr>
              <w:t>-153.8</w:t>
            </w:r>
          </w:p>
          <w:p w14:paraId="19A7651A" w14:textId="77777777" w:rsidR="00855E3C" w:rsidRPr="00855E3C" w:rsidRDefault="00855E3C" w:rsidP="001F4084">
            <w:pPr>
              <w:jc w:val="center"/>
              <w:rPr>
                <w:rFonts w:ascii="Times New Roman" w:hAnsi="Times New Roman" w:cs="Times New Roman"/>
              </w:rPr>
            </w:pPr>
            <w:r w:rsidRPr="00855E3C">
              <w:rPr>
                <w:rFonts w:ascii="Times New Roman" w:hAnsi="Times New Roman" w:cs="Times New Roman"/>
              </w:rPr>
              <w:t>(</w:t>
            </w:r>
            <w:r w:rsidR="001F4084">
              <w:rPr>
                <w:rFonts w:ascii="Times New Roman" w:hAnsi="Times New Roman" w:cs="Times New Roman"/>
              </w:rPr>
              <w:t>1.25</w:t>
            </w:r>
            <w:r w:rsidRPr="00855E3C">
              <w:rPr>
                <w:rFonts w:ascii="Times New Roman" w:hAnsi="Times New Roman" w:cs="Times New Roman"/>
              </w:rPr>
              <w:t>)</w:t>
            </w:r>
          </w:p>
        </w:tc>
        <w:tc>
          <w:tcPr>
            <w:tcW w:w="1620" w:type="dxa"/>
          </w:tcPr>
          <w:p w14:paraId="45DE53BD" w14:textId="77777777" w:rsidR="00855E3C" w:rsidRDefault="00562FFA" w:rsidP="00AA6A7D">
            <w:pPr>
              <w:jc w:val="center"/>
              <w:rPr>
                <w:rFonts w:ascii="Times New Roman" w:hAnsi="Times New Roman" w:cs="Times New Roman"/>
              </w:rPr>
            </w:pPr>
            <w:r>
              <w:rPr>
                <w:rFonts w:ascii="Times New Roman" w:hAnsi="Times New Roman" w:cs="Times New Roman"/>
              </w:rPr>
              <w:t>-1.19</w:t>
            </w:r>
          </w:p>
          <w:p w14:paraId="7D3F4376" w14:textId="77777777" w:rsidR="00953F9C" w:rsidRPr="00855E3C" w:rsidRDefault="001E7397" w:rsidP="00562FFA">
            <w:pPr>
              <w:jc w:val="center"/>
              <w:rPr>
                <w:rFonts w:ascii="Times New Roman" w:hAnsi="Times New Roman" w:cs="Times New Roman"/>
              </w:rPr>
            </w:pPr>
            <w:r>
              <w:rPr>
                <w:rFonts w:ascii="Times New Roman" w:hAnsi="Times New Roman" w:cs="Times New Roman"/>
              </w:rPr>
              <w:t>(</w:t>
            </w:r>
            <w:r w:rsidR="00562FFA">
              <w:rPr>
                <w:rFonts w:ascii="Times New Roman" w:hAnsi="Times New Roman" w:cs="Times New Roman"/>
              </w:rPr>
              <w:t>3.32</w:t>
            </w:r>
            <w:r w:rsidR="00953F9C">
              <w:rPr>
                <w:rFonts w:ascii="Times New Roman" w:hAnsi="Times New Roman" w:cs="Times New Roman"/>
              </w:rPr>
              <w:t>)</w:t>
            </w:r>
          </w:p>
        </w:tc>
        <w:tc>
          <w:tcPr>
            <w:tcW w:w="1890" w:type="dxa"/>
          </w:tcPr>
          <w:p w14:paraId="7F0C02D8" w14:textId="77777777" w:rsidR="00855E3C" w:rsidRDefault="00C04E7E" w:rsidP="00AA6A7D">
            <w:pPr>
              <w:jc w:val="center"/>
              <w:rPr>
                <w:rFonts w:ascii="Times New Roman" w:hAnsi="Times New Roman" w:cs="Times New Roman"/>
              </w:rPr>
            </w:pPr>
            <w:r>
              <w:rPr>
                <w:rFonts w:ascii="Times New Roman" w:hAnsi="Times New Roman" w:cs="Times New Roman"/>
              </w:rPr>
              <w:t>-</w:t>
            </w:r>
            <w:r w:rsidR="00E05AFA">
              <w:rPr>
                <w:rFonts w:ascii="Times New Roman" w:hAnsi="Times New Roman" w:cs="Times New Roman"/>
              </w:rPr>
              <w:t>0.0</w:t>
            </w:r>
            <w:r>
              <w:rPr>
                <w:rFonts w:ascii="Times New Roman" w:hAnsi="Times New Roman" w:cs="Times New Roman"/>
              </w:rPr>
              <w:t>49</w:t>
            </w:r>
          </w:p>
          <w:p w14:paraId="0AD617C7" w14:textId="77777777" w:rsidR="00F30C08" w:rsidRPr="00855E3C"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3.56</w:t>
            </w:r>
            <w:r w:rsidR="00F30C08">
              <w:rPr>
                <w:rFonts w:ascii="Times New Roman" w:hAnsi="Times New Roman" w:cs="Times New Roman"/>
              </w:rPr>
              <w:t>)</w:t>
            </w:r>
          </w:p>
        </w:tc>
        <w:tc>
          <w:tcPr>
            <w:tcW w:w="1885" w:type="dxa"/>
          </w:tcPr>
          <w:p w14:paraId="525AD1C8" w14:textId="77777777" w:rsidR="00855E3C" w:rsidRPr="00855E3C" w:rsidRDefault="00BA1EA8" w:rsidP="00AA6A7D">
            <w:pPr>
              <w:jc w:val="center"/>
              <w:rPr>
                <w:rFonts w:ascii="Times New Roman" w:hAnsi="Times New Roman" w:cs="Times New Roman"/>
              </w:rPr>
            </w:pPr>
            <w:r>
              <w:rPr>
                <w:rFonts w:ascii="Times New Roman" w:hAnsi="Times New Roman" w:cs="Times New Roman"/>
              </w:rPr>
              <w:t>0.865</w:t>
            </w:r>
          </w:p>
        </w:tc>
      </w:tr>
      <w:tr w:rsidR="00855E3C" w14:paraId="762A3CD8" w14:textId="77777777" w:rsidTr="00855E3C">
        <w:tc>
          <w:tcPr>
            <w:tcW w:w="2042" w:type="dxa"/>
          </w:tcPr>
          <w:p w14:paraId="7C18BE6A" w14:textId="77777777" w:rsidR="00855E3C" w:rsidRPr="00855E3C" w:rsidRDefault="00855E3C" w:rsidP="00535C9A">
            <w:pPr>
              <w:rPr>
                <w:rFonts w:ascii="Times New Roman" w:hAnsi="Times New Roman" w:cs="Times New Roman"/>
              </w:rPr>
            </w:pPr>
            <w:r w:rsidRPr="0069730C">
              <w:rPr>
                <w:rFonts w:ascii="Times New Roman" w:hAnsi="Times New Roman" w:cs="Times New Roman"/>
              </w:rPr>
              <w:t>Juvenile Court Involvement</w:t>
            </w:r>
          </w:p>
        </w:tc>
        <w:tc>
          <w:tcPr>
            <w:tcW w:w="1913" w:type="dxa"/>
          </w:tcPr>
          <w:p w14:paraId="5C4DDEE5" w14:textId="77777777" w:rsidR="00855E3C" w:rsidRPr="00855E3C" w:rsidRDefault="0069730C" w:rsidP="00AA6A7D">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154.4</w:t>
            </w:r>
          </w:p>
          <w:p w14:paraId="326CDC45" w14:textId="77777777" w:rsidR="00855E3C" w:rsidRPr="00855E3C" w:rsidRDefault="0069730C" w:rsidP="001F4084">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1.37</w:t>
            </w:r>
            <w:r>
              <w:rPr>
                <w:rFonts w:ascii="Times New Roman" w:hAnsi="Times New Roman" w:cs="Times New Roman"/>
              </w:rPr>
              <w:t>)</w:t>
            </w:r>
          </w:p>
        </w:tc>
        <w:tc>
          <w:tcPr>
            <w:tcW w:w="1620" w:type="dxa"/>
          </w:tcPr>
          <w:p w14:paraId="154B1E2F" w14:textId="77777777" w:rsidR="00855E3C" w:rsidRDefault="001E7397" w:rsidP="00AA6A7D">
            <w:pPr>
              <w:jc w:val="center"/>
              <w:rPr>
                <w:rFonts w:ascii="Times New Roman" w:hAnsi="Times New Roman" w:cs="Times New Roman"/>
              </w:rPr>
            </w:pPr>
            <w:r>
              <w:rPr>
                <w:rFonts w:ascii="Times New Roman" w:hAnsi="Times New Roman" w:cs="Times New Roman"/>
              </w:rPr>
              <w:t>-</w:t>
            </w:r>
            <w:r w:rsidR="00562FFA">
              <w:rPr>
                <w:rFonts w:ascii="Times New Roman" w:hAnsi="Times New Roman" w:cs="Times New Roman"/>
              </w:rPr>
              <w:t>0.26</w:t>
            </w:r>
          </w:p>
          <w:p w14:paraId="7DD19FC0" w14:textId="77777777" w:rsidR="00953F9C" w:rsidRPr="00855E3C" w:rsidRDefault="00953F9C" w:rsidP="00562FFA">
            <w:pPr>
              <w:jc w:val="center"/>
              <w:rPr>
                <w:rFonts w:ascii="Times New Roman" w:hAnsi="Times New Roman" w:cs="Times New Roman"/>
              </w:rPr>
            </w:pPr>
            <w:r>
              <w:rPr>
                <w:rFonts w:ascii="Times New Roman" w:hAnsi="Times New Roman" w:cs="Times New Roman"/>
              </w:rPr>
              <w:t>(</w:t>
            </w:r>
            <w:r w:rsidR="00562FFA">
              <w:rPr>
                <w:rFonts w:ascii="Times New Roman" w:hAnsi="Times New Roman" w:cs="Times New Roman"/>
              </w:rPr>
              <w:t>0.8</w:t>
            </w:r>
            <w:r>
              <w:rPr>
                <w:rFonts w:ascii="Times New Roman" w:hAnsi="Times New Roman" w:cs="Times New Roman"/>
              </w:rPr>
              <w:t>)</w:t>
            </w:r>
          </w:p>
        </w:tc>
        <w:tc>
          <w:tcPr>
            <w:tcW w:w="1890" w:type="dxa"/>
          </w:tcPr>
          <w:p w14:paraId="6DEA8F2B" w14:textId="77777777" w:rsidR="00855E3C" w:rsidRDefault="00E05AFA" w:rsidP="00AA6A7D">
            <w:pPr>
              <w:jc w:val="center"/>
              <w:rPr>
                <w:rFonts w:ascii="Times New Roman" w:hAnsi="Times New Roman" w:cs="Times New Roman"/>
              </w:rPr>
            </w:pPr>
            <w:r>
              <w:rPr>
                <w:rFonts w:ascii="Times New Roman" w:hAnsi="Times New Roman" w:cs="Times New Roman"/>
              </w:rPr>
              <w:t>-0.0</w:t>
            </w:r>
            <w:r w:rsidR="00C04E7E">
              <w:rPr>
                <w:rFonts w:ascii="Times New Roman" w:hAnsi="Times New Roman" w:cs="Times New Roman"/>
              </w:rPr>
              <w:t>37</w:t>
            </w:r>
          </w:p>
          <w:p w14:paraId="5A835FBA" w14:textId="77777777" w:rsidR="00F30C08" w:rsidRPr="00855E3C"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3.00</w:t>
            </w:r>
            <w:r w:rsidR="00F30C08">
              <w:rPr>
                <w:rFonts w:ascii="Times New Roman" w:hAnsi="Times New Roman" w:cs="Times New Roman"/>
              </w:rPr>
              <w:t>)</w:t>
            </w:r>
          </w:p>
        </w:tc>
        <w:tc>
          <w:tcPr>
            <w:tcW w:w="1885" w:type="dxa"/>
          </w:tcPr>
          <w:p w14:paraId="7CFC4D31" w14:textId="77777777" w:rsidR="00855E3C" w:rsidRPr="00855E3C" w:rsidRDefault="00E05AFA" w:rsidP="00AA6A7D">
            <w:pPr>
              <w:jc w:val="center"/>
              <w:rPr>
                <w:rFonts w:ascii="Times New Roman" w:hAnsi="Times New Roman" w:cs="Times New Roman"/>
              </w:rPr>
            </w:pPr>
            <w:r>
              <w:rPr>
                <w:rFonts w:ascii="Times New Roman" w:hAnsi="Times New Roman" w:cs="Times New Roman"/>
              </w:rPr>
              <w:t>0.171</w:t>
            </w:r>
          </w:p>
        </w:tc>
      </w:tr>
      <w:tr w:rsidR="00855E3C" w14:paraId="544B9C9C" w14:textId="77777777" w:rsidTr="00855E3C">
        <w:tc>
          <w:tcPr>
            <w:tcW w:w="2042" w:type="dxa"/>
          </w:tcPr>
          <w:p w14:paraId="4D6D27F9" w14:textId="77777777" w:rsidR="00855E3C" w:rsidRPr="00855E3C" w:rsidRDefault="00855E3C" w:rsidP="00535C9A">
            <w:pPr>
              <w:rPr>
                <w:rFonts w:ascii="Times New Roman" w:hAnsi="Times New Roman" w:cs="Times New Roman"/>
              </w:rPr>
            </w:pPr>
            <w:r w:rsidRPr="00855E3C">
              <w:rPr>
                <w:rFonts w:ascii="Times New Roman" w:hAnsi="Times New Roman" w:cs="Times New Roman"/>
              </w:rPr>
              <w:t>Has Minor Children</w:t>
            </w:r>
          </w:p>
        </w:tc>
        <w:tc>
          <w:tcPr>
            <w:tcW w:w="1913" w:type="dxa"/>
          </w:tcPr>
          <w:p w14:paraId="6FA35EE2" w14:textId="77777777" w:rsidR="00855E3C" w:rsidRPr="00855E3C" w:rsidRDefault="0069730C" w:rsidP="00AA6A7D">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858.4</w:t>
            </w:r>
          </w:p>
          <w:p w14:paraId="697C05BA" w14:textId="77777777" w:rsidR="00855E3C" w:rsidRPr="00855E3C" w:rsidRDefault="001E7397" w:rsidP="001F4084">
            <w:pPr>
              <w:jc w:val="center"/>
              <w:rPr>
                <w:rFonts w:ascii="Times New Roman" w:hAnsi="Times New Roman" w:cs="Times New Roman"/>
              </w:rPr>
            </w:pPr>
            <w:r>
              <w:rPr>
                <w:rFonts w:ascii="Times New Roman" w:hAnsi="Times New Roman" w:cs="Times New Roman"/>
              </w:rPr>
              <w:t>(3.</w:t>
            </w:r>
            <w:r w:rsidR="001F4084">
              <w:rPr>
                <w:rFonts w:ascii="Times New Roman" w:hAnsi="Times New Roman" w:cs="Times New Roman"/>
              </w:rPr>
              <w:t>78</w:t>
            </w:r>
            <w:r w:rsidR="00855E3C" w:rsidRPr="00855E3C">
              <w:rPr>
                <w:rFonts w:ascii="Times New Roman" w:hAnsi="Times New Roman" w:cs="Times New Roman"/>
              </w:rPr>
              <w:t>)</w:t>
            </w:r>
          </w:p>
        </w:tc>
        <w:tc>
          <w:tcPr>
            <w:tcW w:w="1620" w:type="dxa"/>
          </w:tcPr>
          <w:p w14:paraId="55F493B3" w14:textId="77777777" w:rsidR="00855E3C" w:rsidRDefault="001E7397" w:rsidP="00AA6A7D">
            <w:pPr>
              <w:jc w:val="center"/>
              <w:rPr>
                <w:rFonts w:ascii="Times New Roman" w:hAnsi="Times New Roman" w:cs="Times New Roman"/>
              </w:rPr>
            </w:pPr>
            <w:r>
              <w:rPr>
                <w:rFonts w:ascii="Times New Roman" w:hAnsi="Times New Roman" w:cs="Times New Roman"/>
              </w:rPr>
              <w:t>-</w:t>
            </w:r>
            <w:r w:rsidR="00286B48">
              <w:rPr>
                <w:rFonts w:ascii="Times New Roman" w:hAnsi="Times New Roman" w:cs="Times New Roman"/>
              </w:rPr>
              <w:t>1.95</w:t>
            </w:r>
          </w:p>
          <w:p w14:paraId="22D31FC8" w14:textId="77777777" w:rsidR="00953F9C" w:rsidRPr="00855E3C" w:rsidRDefault="001E7397" w:rsidP="00286B48">
            <w:pPr>
              <w:jc w:val="center"/>
              <w:rPr>
                <w:rFonts w:ascii="Times New Roman" w:hAnsi="Times New Roman" w:cs="Times New Roman"/>
              </w:rPr>
            </w:pPr>
            <w:r>
              <w:rPr>
                <w:rFonts w:ascii="Times New Roman" w:hAnsi="Times New Roman" w:cs="Times New Roman"/>
              </w:rPr>
              <w:t>(</w:t>
            </w:r>
            <w:r w:rsidR="00286B48">
              <w:rPr>
                <w:rFonts w:ascii="Times New Roman" w:hAnsi="Times New Roman" w:cs="Times New Roman"/>
              </w:rPr>
              <w:t>2.96</w:t>
            </w:r>
            <w:r w:rsidR="00953F9C">
              <w:rPr>
                <w:rFonts w:ascii="Times New Roman" w:hAnsi="Times New Roman" w:cs="Times New Roman"/>
              </w:rPr>
              <w:t>)</w:t>
            </w:r>
          </w:p>
        </w:tc>
        <w:tc>
          <w:tcPr>
            <w:tcW w:w="1890" w:type="dxa"/>
          </w:tcPr>
          <w:p w14:paraId="187708C3" w14:textId="77777777" w:rsidR="00855E3C" w:rsidRDefault="00E05AFA" w:rsidP="00AA6A7D">
            <w:pPr>
              <w:jc w:val="center"/>
              <w:rPr>
                <w:rFonts w:ascii="Times New Roman" w:hAnsi="Times New Roman" w:cs="Times New Roman"/>
              </w:rPr>
            </w:pPr>
            <w:r>
              <w:rPr>
                <w:rFonts w:ascii="Times New Roman" w:hAnsi="Times New Roman" w:cs="Times New Roman"/>
              </w:rPr>
              <w:t>-0.0</w:t>
            </w:r>
            <w:r w:rsidR="00C04E7E">
              <w:rPr>
                <w:rFonts w:ascii="Times New Roman" w:hAnsi="Times New Roman" w:cs="Times New Roman"/>
              </w:rPr>
              <w:t>50</w:t>
            </w:r>
          </w:p>
          <w:p w14:paraId="2997D0CC" w14:textId="77777777" w:rsidR="00F30C08" w:rsidRPr="00855E3C"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1.98</w:t>
            </w:r>
            <w:r w:rsidR="00F30C08">
              <w:rPr>
                <w:rFonts w:ascii="Times New Roman" w:hAnsi="Times New Roman" w:cs="Times New Roman"/>
              </w:rPr>
              <w:t>)</w:t>
            </w:r>
          </w:p>
        </w:tc>
        <w:tc>
          <w:tcPr>
            <w:tcW w:w="1885" w:type="dxa"/>
          </w:tcPr>
          <w:p w14:paraId="4031DF2D" w14:textId="77777777" w:rsidR="00855E3C" w:rsidRPr="00855E3C" w:rsidRDefault="00E05AFA" w:rsidP="00AA6A7D">
            <w:pPr>
              <w:jc w:val="center"/>
              <w:rPr>
                <w:rFonts w:ascii="Times New Roman" w:hAnsi="Times New Roman" w:cs="Times New Roman"/>
              </w:rPr>
            </w:pPr>
            <w:r>
              <w:rPr>
                <w:rFonts w:ascii="Times New Roman" w:hAnsi="Times New Roman" w:cs="Times New Roman"/>
              </w:rPr>
              <w:t>0.380</w:t>
            </w:r>
          </w:p>
        </w:tc>
      </w:tr>
      <w:tr w:rsidR="00855E3C" w14:paraId="0D5C4AAB" w14:textId="77777777" w:rsidTr="00855E3C">
        <w:tc>
          <w:tcPr>
            <w:tcW w:w="2042" w:type="dxa"/>
          </w:tcPr>
          <w:p w14:paraId="73C3EFA6" w14:textId="77777777" w:rsidR="00855E3C" w:rsidRPr="00855E3C" w:rsidRDefault="00855E3C" w:rsidP="00535C9A">
            <w:pPr>
              <w:rPr>
                <w:rFonts w:ascii="Times New Roman" w:hAnsi="Times New Roman" w:cs="Times New Roman"/>
              </w:rPr>
            </w:pPr>
            <w:r w:rsidRPr="00855E3C">
              <w:rPr>
                <w:rFonts w:ascii="Times New Roman" w:hAnsi="Times New Roman" w:cs="Times New Roman"/>
              </w:rPr>
              <w:t>Female x Has Minor Children</w:t>
            </w:r>
          </w:p>
        </w:tc>
        <w:tc>
          <w:tcPr>
            <w:tcW w:w="1913" w:type="dxa"/>
          </w:tcPr>
          <w:p w14:paraId="3ECDB17C" w14:textId="77777777" w:rsidR="00855E3C" w:rsidRPr="00855E3C" w:rsidRDefault="001F4084" w:rsidP="00AA6A7D">
            <w:pPr>
              <w:jc w:val="center"/>
              <w:rPr>
                <w:rFonts w:ascii="Times New Roman" w:hAnsi="Times New Roman" w:cs="Times New Roman"/>
              </w:rPr>
            </w:pPr>
            <w:r>
              <w:rPr>
                <w:rFonts w:ascii="Times New Roman" w:hAnsi="Times New Roman" w:cs="Times New Roman"/>
              </w:rPr>
              <w:t>813.0</w:t>
            </w:r>
            <w:r w:rsidR="001E7397">
              <w:rPr>
                <w:rFonts w:ascii="Times New Roman" w:hAnsi="Times New Roman" w:cs="Times New Roman"/>
              </w:rPr>
              <w:t>0</w:t>
            </w:r>
          </w:p>
          <w:p w14:paraId="741EB763" w14:textId="77777777" w:rsidR="00855E3C" w:rsidRPr="00855E3C" w:rsidRDefault="00855E3C" w:rsidP="001F4084">
            <w:pPr>
              <w:jc w:val="center"/>
              <w:rPr>
                <w:rFonts w:ascii="Times New Roman" w:hAnsi="Times New Roman" w:cs="Times New Roman"/>
              </w:rPr>
            </w:pPr>
            <w:r w:rsidRPr="00855E3C">
              <w:rPr>
                <w:rFonts w:ascii="Times New Roman" w:hAnsi="Times New Roman" w:cs="Times New Roman"/>
              </w:rPr>
              <w:t>(</w:t>
            </w:r>
            <w:r w:rsidR="001F4084">
              <w:rPr>
                <w:rFonts w:ascii="Times New Roman" w:hAnsi="Times New Roman" w:cs="Times New Roman"/>
              </w:rPr>
              <w:t>3.36</w:t>
            </w:r>
            <w:r w:rsidRPr="00855E3C">
              <w:rPr>
                <w:rFonts w:ascii="Times New Roman" w:hAnsi="Times New Roman" w:cs="Times New Roman"/>
              </w:rPr>
              <w:t>)</w:t>
            </w:r>
          </w:p>
        </w:tc>
        <w:tc>
          <w:tcPr>
            <w:tcW w:w="1620" w:type="dxa"/>
          </w:tcPr>
          <w:p w14:paraId="596E4CE5" w14:textId="77777777" w:rsidR="00855E3C" w:rsidRDefault="00286B48" w:rsidP="00AA6A7D">
            <w:pPr>
              <w:jc w:val="center"/>
              <w:rPr>
                <w:rFonts w:ascii="Times New Roman" w:hAnsi="Times New Roman" w:cs="Times New Roman"/>
              </w:rPr>
            </w:pPr>
            <w:r>
              <w:rPr>
                <w:rFonts w:ascii="Times New Roman" w:hAnsi="Times New Roman" w:cs="Times New Roman"/>
              </w:rPr>
              <w:t>3.16</w:t>
            </w:r>
          </w:p>
          <w:p w14:paraId="7788D7D0" w14:textId="77777777" w:rsidR="00953F9C" w:rsidRPr="00855E3C" w:rsidRDefault="001E7397" w:rsidP="00286B48">
            <w:pPr>
              <w:jc w:val="center"/>
              <w:rPr>
                <w:rFonts w:ascii="Times New Roman" w:hAnsi="Times New Roman" w:cs="Times New Roman"/>
              </w:rPr>
            </w:pPr>
            <w:r>
              <w:rPr>
                <w:rFonts w:ascii="Times New Roman" w:hAnsi="Times New Roman" w:cs="Times New Roman"/>
              </w:rPr>
              <w:t>(</w:t>
            </w:r>
            <w:r w:rsidR="00286B48">
              <w:rPr>
                <w:rFonts w:ascii="Times New Roman" w:hAnsi="Times New Roman" w:cs="Times New Roman"/>
              </w:rPr>
              <w:t>4.50</w:t>
            </w:r>
            <w:r w:rsidR="00953F9C">
              <w:rPr>
                <w:rFonts w:ascii="Times New Roman" w:hAnsi="Times New Roman" w:cs="Times New Roman"/>
              </w:rPr>
              <w:t>)</w:t>
            </w:r>
          </w:p>
        </w:tc>
        <w:tc>
          <w:tcPr>
            <w:tcW w:w="1890" w:type="dxa"/>
          </w:tcPr>
          <w:p w14:paraId="57CC329C" w14:textId="77777777" w:rsidR="00855E3C" w:rsidRDefault="00C04E7E" w:rsidP="00AA6A7D">
            <w:pPr>
              <w:jc w:val="center"/>
              <w:rPr>
                <w:rFonts w:ascii="Times New Roman" w:hAnsi="Times New Roman" w:cs="Times New Roman"/>
              </w:rPr>
            </w:pPr>
            <w:r>
              <w:rPr>
                <w:rFonts w:ascii="Times New Roman" w:hAnsi="Times New Roman" w:cs="Times New Roman"/>
              </w:rPr>
              <w:t>0.095</w:t>
            </w:r>
          </w:p>
          <w:p w14:paraId="4FBE61D0" w14:textId="77777777" w:rsidR="00F30C08" w:rsidRPr="00855E3C"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3.57</w:t>
            </w:r>
            <w:r w:rsidR="00F30C08">
              <w:rPr>
                <w:rFonts w:ascii="Times New Roman" w:hAnsi="Times New Roman" w:cs="Times New Roman"/>
              </w:rPr>
              <w:t>)</w:t>
            </w:r>
          </w:p>
        </w:tc>
        <w:tc>
          <w:tcPr>
            <w:tcW w:w="1885" w:type="dxa"/>
          </w:tcPr>
          <w:p w14:paraId="55BB4BEB" w14:textId="77777777" w:rsidR="00855E3C" w:rsidRPr="00855E3C" w:rsidRDefault="00121D61" w:rsidP="00AA6A7D">
            <w:pPr>
              <w:jc w:val="center"/>
              <w:rPr>
                <w:rFonts w:ascii="Times New Roman" w:hAnsi="Times New Roman" w:cs="Times New Roman"/>
              </w:rPr>
            </w:pPr>
            <w:r>
              <w:rPr>
                <w:rFonts w:ascii="Times New Roman" w:hAnsi="Times New Roman" w:cs="Times New Roman"/>
              </w:rPr>
              <w:t>0.332</w:t>
            </w:r>
          </w:p>
        </w:tc>
      </w:tr>
      <w:tr w:rsidR="00855E3C" w14:paraId="40877B86" w14:textId="77777777" w:rsidTr="00855E3C">
        <w:tc>
          <w:tcPr>
            <w:tcW w:w="2042" w:type="dxa"/>
          </w:tcPr>
          <w:p w14:paraId="28A942DC" w14:textId="77777777" w:rsidR="00855E3C" w:rsidRPr="00855E3C" w:rsidRDefault="00855E3C" w:rsidP="00535C9A">
            <w:pPr>
              <w:rPr>
                <w:rFonts w:ascii="Times New Roman" w:hAnsi="Times New Roman" w:cs="Times New Roman"/>
              </w:rPr>
            </w:pPr>
            <w:r w:rsidRPr="00855E3C">
              <w:rPr>
                <w:rFonts w:ascii="Times New Roman" w:hAnsi="Times New Roman" w:cs="Times New Roman"/>
              </w:rPr>
              <w:t>Hispanic</w:t>
            </w:r>
          </w:p>
        </w:tc>
        <w:tc>
          <w:tcPr>
            <w:tcW w:w="1913" w:type="dxa"/>
          </w:tcPr>
          <w:p w14:paraId="0076C95E" w14:textId="77777777" w:rsidR="00855E3C" w:rsidRPr="00855E3C" w:rsidRDefault="001F4084" w:rsidP="00AA6A7D">
            <w:pPr>
              <w:jc w:val="center"/>
              <w:rPr>
                <w:rFonts w:ascii="Times New Roman" w:hAnsi="Times New Roman" w:cs="Times New Roman"/>
              </w:rPr>
            </w:pPr>
            <w:r>
              <w:rPr>
                <w:rFonts w:ascii="Times New Roman" w:hAnsi="Times New Roman" w:cs="Times New Roman"/>
              </w:rPr>
              <w:t>541.3</w:t>
            </w:r>
          </w:p>
          <w:p w14:paraId="6817CDA6" w14:textId="77777777" w:rsidR="00855E3C" w:rsidRPr="00855E3C" w:rsidRDefault="001E7397" w:rsidP="001F4084">
            <w:pPr>
              <w:jc w:val="center"/>
              <w:rPr>
                <w:rFonts w:ascii="Times New Roman" w:hAnsi="Times New Roman" w:cs="Times New Roman"/>
              </w:rPr>
            </w:pPr>
            <w:r>
              <w:rPr>
                <w:rFonts w:ascii="Times New Roman" w:hAnsi="Times New Roman" w:cs="Times New Roman"/>
              </w:rPr>
              <w:t>(2.</w:t>
            </w:r>
            <w:r w:rsidR="001F4084">
              <w:rPr>
                <w:rFonts w:ascii="Times New Roman" w:hAnsi="Times New Roman" w:cs="Times New Roman"/>
              </w:rPr>
              <w:t>31</w:t>
            </w:r>
            <w:r w:rsidR="00855E3C" w:rsidRPr="00855E3C">
              <w:rPr>
                <w:rFonts w:ascii="Times New Roman" w:hAnsi="Times New Roman" w:cs="Times New Roman"/>
              </w:rPr>
              <w:t>)</w:t>
            </w:r>
          </w:p>
        </w:tc>
        <w:tc>
          <w:tcPr>
            <w:tcW w:w="1620" w:type="dxa"/>
          </w:tcPr>
          <w:p w14:paraId="7439437A" w14:textId="77777777" w:rsidR="00855E3C" w:rsidRDefault="00286B48" w:rsidP="00AA6A7D">
            <w:pPr>
              <w:jc w:val="center"/>
              <w:rPr>
                <w:rFonts w:ascii="Times New Roman" w:hAnsi="Times New Roman" w:cs="Times New Roman"/>
              </w:rPr>
            </w:pPr>
            <w:r>
              <w:rPr>
                <w:rFonts w:ascii="Times New Roman" w:hAnsi="Times New Roman" w:cs="Times New Roman"/>
              </w:rPr>
              <w:t>1.74</w:t>
            </w:r>
          </w:p>
          <w:p w14:paraId="53DE9362" w14:textId="77777777" w:rsidR="00953F9C" w:rsidRPr="00855E3C" w:rsidRDefault="001E7397" w:rsidP="00286B48">
            <w:pPr>
              <w:jc w:val="center"/>
              <w:rPr>
                <w:rFonts w:ascii="Times New Roman" w:hAnsi="Times New Roman" w:cs="Times New Roman"/>
              </w:rPr>
            </w:pPr>
            <w:r>
              <w:rPr>
                <w:rFonts w:ascii="Times New Roman" w:hAnsi="Times New Roman" w:cs="Times New Roman"/>
              </w:rPr>
              <w:t>(2.</w:t>
            </w:r>
            <w:r w:rsidR="00286B48">
              <w:rPr>
                <w:rFonts w:ascii="Times New Roman" w:hAnsi="Times New Roman" w:cs="Times New Roman"/>
              </w:rPr>
              <w:t>57</w:t>
            </w:r>
            <w:r w:rsidR="00953F9C">
              <w:rPr>
                <w:rFonts w:ascii="Times New Roman" w:hAnsi="Times New Roman" w:cs="Times New Roman"/>
              </w:rPr>
              <w:t>)</w:t>
            </w:r>
          </w:p>
        </w:tc>
        <w:tc>
          <w:tcPr>
            <w:tcW w:w="1890" w:type="dxa"/>
          </w:tcPr>
          <w:p w14:paraId="1CC8FE61" w14:textId="77777777" w:rsidR="00855E3C" w:rsidRDefault="00E05AFA" w:rsidP="00AA6A7D">
            <w:pPr>
              <w:jc w:val="center"/>
              <w:rPr>
                <w:rFonts w:ascii="Times New Roman" w:hAnsi="Times New Roman" w:cs="Times New Roman"/>
              </w:rPr>
            </w:pPr>
            <w:r>
              <w:rPr>
                <w:rFonts w:ascii="Times New Roman" w:hAnsi="Times New Roman" w:cs="Times New Roman"/>
              </w:rPr>
              <w:t>0.056</w:t>
            </w:r>
          </w:p>
          <w:p w14:paraId="65D398AB" w14:textId="77777777" w:rsidR="00F30C08" w:rsidRPr="00855E3C"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2.16</w:t>
            </w:r>
            <w:r w:rsidR="00F30C08">
              <w:rPr>
                <w:rFonts w:ascii="Times New Roman" w:hAnsi="Times New Roman" w:cs="Times New Roman"/>
              </w:rPr>
              <w:t>)</w:t>
            </w:r>
          </w:p>
        </w:tc>
        <w:tc>
          <w:tcPr>
            <w:tcW w:w="1885" w:type="dxa"/>
          </w:tcPr>
          <w:p w14:paraId="0194B244" w14:textId="77777777" w:rsidR="00855E3C" w:rsidRPr="00855E3C" w:rsidRDefault="00121D61" w:rsidP="00AA6A7D">
            <w:pPr>
              <w:jc w:val="center"/>
              <w:rPr>
                <w:rFonts w:ascii="Times New Roman" w:hAnsi="Times New Roman" w:cs="Times New Roman"/>
              </w:rPr>
            </w:pPr>
            <w:r>
              <w:rPr>
                <w:rFonts w:ascii="Times New Roman" w:hAnsi="Times New Roman" w:cs="Times New Roman"/>
              </w:rPr>
              <w:t>0.035</w:t>
            </w:r>
          </w:p>
        </w:tc>
      </w:tr>
      <w:tr w:rsidR="00855E3C" w14:paraId="2B612867" w14:textId="77777777" w:rsidTr="00855E3C">
        <w:tc>
          <w:tcPr>
            <w:tcW w:w="2042" w:type="dxa"/>
          </w:tcPr>
          <w:p w14:paraId="289A8C96" w14:textId="77777777" w:rsidR="00855E3C" w:rsidRPr="00855E3C" w:rsidRDefault="00855E3C" w:rsidP="00535C9A">
            <w:pPr>
              <w:rPr>
                <w:rFonts w:ascii="Times New Roman" w:hAnsi="Times New Roman" w:cs="Times New Roman"/>
              </w:rPr>
            </w:pPr>
            <w:r w:rsidRPr="00855E3C">
              <w:rPr>
                <w:rFonts w:ascii="Times New Roman" w:hAnsi="Times New Roman" w:cs="Times New Roman"/>
              </w:rPr>
              <w:t>Black</w:t>
            </w:r>
          </w:p>
        </w:tc>
        <w:tc>
          <w:tcPr>
            <w:tcW w:w="1913" w:type="dxa"/>
          </w:tcPr>
          <w:p w14:paraId="4C1031AE" w14:textId="77777777" w:rsidR="00855E3C" w:rsidRPr="00855E3C" w:rsidRDefault="001E7397" w:rsidP="00AA6A7D">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207.0</w:t>
            </w:r>
          </w:p>
          <w:p w14:paraId="244EBC3A" w14:textId="77777777" w:rsidR="00855E3C" w:rsidRPr="00855E3C" w:rsidRDefault="001E7397" w:rsidP="001F4084">
            <w:pPr>
              <w:jc w:val="center"/>
              <w:rPr>
                <w:rFonts w:ascii="Times New Roman" w:hAnsi="Times New Roman" w:cs="Times New Roman"/>
              </w:rPr>
            </w:pPr>
            <w:r>
              <w:rPr>
                <w:rFonts w:ascii="Times New Roman" w:hAnsi="Times New Roman" w:cs="Times New Roman"/>
              </w:rPr>
              <w:t>(</w:t>
            </w:r>
            <w:r w:rsidR="001F4084">
              <w:rPr>
                <w:rFonts w:ascii="Times New Roman" w:hAnsi="Times New Roman" w:cs="Times New Roman"/>
              </w:rPr>
              <w:t>2.18</w:t>
            </w:r>
            <w:r w:rsidR="00855E3C" w:rsidRPr="00855E3C">
              <w:rPr>
                <w:rFonts w:ascii="Times New Roman" w:hAnsi="Times New Roman" w:cs="Times New Roman"/>
              </w:rPr>
              <w:t>)</w:t>
            </w:r>
          </w:p>
        </w:tc>
        <w:tc>
          <w:tcPr>
            <w:tcW w:w="1620" w:type="dxa"/>
          </w:tcPr>
          <w:p w14:paraId="7B97B2A4" w14:textId="77777777" w:rsidR="00855E3C" w:rsidRDefault="001E7397" w:rsidP="00AA6A7D">
            <w:pPr>
              <w:jc w:val="center"/>
              <w:rPr>
                <w:rFonts w:ascii="Times New Roman" w:hAnsi="Times New Roman" w:cs="Times New Roman"/>
              </w:rPr>
            </w:pPr>
            <w:r>
              <w:rPr>
                <w:rFonts w:ascii="Times New Roman" w:hAnsi="Times New Roman" w:cs="Times New Roman"/>
              </w:rPr>
              <w:t>-0.</w:t>
            </w:r>
            <w:r w:rsidR="00286B48">
              <w:rPr>
                <w:rFonts w:ascii="Times New Roman" w:hAnsi="Times New Roman" w:cs="Times New Roman"/>
              </w:rPr>
              <w:t>57</w:t>
            </w:r>
          </w:p>
          <w:p w14:paraId="05AD38EA" w14:textId="77777777" w:rsidR="00953F9C" w:rsidRPr="00855E3C" w:rsidRDefault="001E7397" w:rsidP="00286B48">
            <w:pPr>
              <w:jc w:val="center"/>
              <w:rPr>
                <w:rFonts w:ascii="Times New Roman" w:hAnsi="Times New Roman" w:cs="Times New Roman"/>
              </w:rPr>
            </w:pPr>
            <w:r>
              <w:rPr>
                <w:rFonts w:ascii="Times New Roman" w:hAnsi="Times New Roman" w:cs="Times New Roman"/>
              </w:rPr>
              <w:t>(2.</w:t>
            </w:r>
            <w:r w:rsidR="00286B48">
              <w:rPr>
                <w:rFonts w:ascii="Times New Roman" w:hAnsi="Times New Roman" w:cs="Times New Roman"/>
              </w:rPr>
              <w:t>09</w:t>
            </w:r>
            <w:r w:rsidR="00953F9C">
              <w:rPr>
                <w:rFonts w:ascii="Times New Roman" w:hAnsi="Times New Roman" w:cs="Times New Roman"/>
              </w:rPr>
              <w:t>)</w:t>
            </w:r>
          </w:p>
        </w:tc>
        <w:tc>
          <w:tcPr>
            <w:tcW w:w="1890" w:type="dxa"/>
          </w:tcPr>
          <w:p w14:paraId="616D1BE2" w14:textId="77777777" w:rsidR="00855E3C" w:rsidRDefault="00C04E7E" w:rsidP="00AA6A7D">
            <w:pPr>
              <w:jc w:val="center"/>
              <w:rPr>
                <w:rFonts w:ascii="Times New Roman" w:hAnsi="Times New Roman" w:cs="Times New Roman"/>
              </w:rPr>
            </w:pPr>
            <w:r>
              <w:rPr>
                <w:rFonts w:ascii="Times New Roman" w:hAnsi="Times New Roman" w:cs="Times New Roman"/>
              </w:rPr>
              <w:t>-</w:t>
            </w:r>
            <w:r w:rsidR="00E05AFA">
              <w:rPr>
                <w:rFonts w:ascii="Times New Roman" w:hAnsi="Times New Roman" w:cs="Times New Roman"/>
              </w:rPr>
              <w:t>0.02</w:t>
            </w:r>
            <w:r>
              <w:rPr>
                <w:rFonts w:ascii="Times New Roman" w:hAnsi="Times New Roman" w:cs="Times New Roman"/>
              </w:rPr>
              <w:t>6</w:t>
            </w:r>
          </w:p>
          <w:p w14:paraId="31D393C1" w14:textId="77777777" w:rsidR="00F30C08" w:rsidRPr="00855E3C" w:rsidRDefault="00E05AFA" w:rsidP="00C04E7E">
            <w:pPr>
              <w:jc w:val="center"/>
              <w:rPr>
                <w:rFonts w:ascii="Times New Roman" w:hAnsi="Times New Roman" w:cs="Times New Roman"/>
              </w:rPr>
            </w:pPr>
            <w:r>
              <w:rPr>
                <w:rFonts w:ascii="Times New Roman" w:hAnsi="Times New Roman" w:cs="Times New Roman"/>
              </w:rPr>
              <w:t>(</w:t>
            </w:r>
            <w:r w:rsidR="00C04E7E">
              <w:rPr>
                <w:rFonts w:ascii="Times New Roman" w:hAnsi="Times New Roman" w:cs="Times New Roman"/>
              </w:rPr>
              <w:t>2.48</w:t>
            </w:r>
            <w:r w:rsidR="00F30C08">
              <w:rPr>
                <w:rFonts w:ascii="Times New Roman" w:hAnsi="Times New Roman" w:cs="Times New Roman"/>
              </w:rPr>
              <w:t>)</w:t>
            </w:r>
          </w:p>
        </w:tc>
        <w:tc>
          <w:tcPr>
            <w:tcW w:w="1885" w:type="dxa"/>
          </w:tcPr>
          <w:p w14:paraId="1CD8271C" w14:textId="77777777" w:rsidR="00855E3C" w:rsidRPr="00855E3C" w:rsidRDefault="00121D61" w:rsidP="00AA6A7D">
            <w:pPr>
              <w:jc w:val="center"/>
              <w:rPr>
                <w:rFonts w:ascii="Times New Roman" w:hAnsi="Times New Roman" w:cs="Times New Roman"/>
              </w:rPr>
            </w:pPr>
            <w:r>
              <w:rPr>
                <w:rFonts w:ascii="Times New Roman" w:hAnsi="Times New Roman" w:cs="Times New Roman"/>
              </w:rPr>
              <w:t>0.535</w:t>
            </w:r>
          </w:p>
        </w:tc>
      </w:tr>
    </w:tbl>
    <w:p w14:paraId="4957B8FB" w14:textId="77777777" w:rsidR="006B0774" w:rsidRDefault="002D5F20" w:rsidP="00323FE6">
      <w:r>
        <w:t>N= 14,829</w:t>
      </w:r>
    </w:p>
    <w:p w14:paraId="45604C8D" w14:textId="12328297" w:rsidR="0037311B" w:rsidRDefault="0037311B" w:rsidP="00AC6265">
      <w:pPr>
        <w:jc w:val="both"/>
        <w:rPr>
          <w:rFonts w:ascii="Times New Roman" w:hAnsi="Times New Roman" w:cs="Times New Roman"/>
        </w:rPr>
      </w:pPr>
      <w:r w:rsidRPr="0037311B">
        <w:rPr>
          <w:rFonts w:ascii="Times New Roman" w:hAnsi="Times New Roman" w:cs="Times New Roman"/>
        </w:rPr>
        <w:lastRenderedPageBreak/>
        <w:t xml:space="preserve">In </w:t>
      </w:r>
      <w:r>
        <w:rPr>
          <w:rFonts w:ascii="Times New Roman" w:hAnsi="Times New Roman" w:cs="Times New Roman"/>
        </w:rPr>
        <w:t xml:space="preserve">Table </w:t>
      </w:r>
      <w:r w:rsidR="00023ED4">
        <w:rPr>
          <w:rFonts w:ascii="Times New Roman" w:hAnsi="Times New Roman" w:cs="Times New Roman"/>
        </w:rPr>
        <w:t>1</w:t>
      </w:r>
      <w:r w:rsidR="00883191">
        <w:rPr>
          <w:rFonts w:ascii="Times New Roman" w:hAnsi="Times New Roman" w:cs="Times New Roman"/>
        </w:rPr>
        <w:t>1</w:t>
      </w:r>
      <w:r>
        <w:rPr>
          <w:rFonts w:ascii="Times New Roman" w:hAnsi="Times New Roman" w:cs="Times New Roman"/>
        </w:rPr>
        <w:t>, we provide regressions for the levels of the outcome variables in the post-onset period (calendar year 2018)</w:t>
      </w:r>
      <w:r w:rsidR="006359C4">
        <w:rPr>
          <w:rFonts w:ascii="Times New Roman" w:hAnsi="Times New Roman" w:cs="Times New Roman"/>
        </w:rPr>
        <w:t xml:space="preserve">: </w:t>
      </w:r>
      <w:r>
        <w:rPr>
          <w:rFonts w:ascii="Times New Roman" w:hAnsi="Times New Roman" w:cs="Times New Roman"/>
        </w:rPr>
        <w:t xml:space="preserve"> (log of) earnings</w:t>
      </w:r>
      <w:r w:rsidR="00082793">
        <w:rPr>
          <w:rStyle w:val="FootnoteReference"/>
          <w:rFonts w:ascii="Times New Roman" w:hAnsi="Times New Roman" w:cs="Times New Roman"/>
        </w:rPr>
        <w:footnoteReference w:id="39"/>
      </w:r>
      <w:r>
        <w:rPr>
          <w:rFonts w:ascii="Times New Roman" w:hAnsi="Times New Roman" w:cs="Times New Roman"/>
        </w:rPr>
        <w:t>, weeks worked</w:t>
      </w:r>
      <w:r w:rsidR="00902FF9">
        <w:rPr>
          <w:rStyle w:val="FootnoteReference"/>
          <w:rFonts w:ascii="Times New Roman" w:hAnsi="Times New Roman" w:cs="Times New Roman"/>
        </w:rPr>
        <w:footnoteReference w:id="40"/>
      </w:r>
      <w:r>
        <w:rPr>
          <w:rFonts w:ascii="Times New Roman" w:hAnsi="Times New Roman" w:cs="Times New Roman"/>
        </w:rPr>
        <w:t xml:space="preserve"> and number of employers</w:t>
      </w:r>
      <w:r w:rsidR="00902FF9">
        <w:rPr>
          <w:rStyle w:val="FootnoteReference"/>
          <w:rFonts w:ascii="Times New Roman" w:hAnsi="Times New Roman" w:cs="Times New Roman"/>
        </w:rPr>
        <w:footnoteReference w:id="41"/>
      </w:r>
      <w:r>
        <w:rPr>
          <w:rFonts w:ascii="Times New Roman" w:hAnsi="Times New Roman" w:cs="Times New Roman"/>
        </w:rPr>
        <w:t>.  The log earnings equation is similar to a wage equation much-used in the labor supply literature except that inasmuch as the administrative data do not measure hours worked, we must settle for earnings rather than wages.</w:t>
      </w:r>
    </w:p>
    <w:p w14:paraId="1A658F1F" w14:textId="72635259" w:rsidR="0037311B" w:rsidRDefault="0037311B" w:rsidP="0037311B">
      <w:pPr>
        <w:spacing w:after="0"/>
        <w:jc w:val="center"/>
        <w:rPr>
          <w:rFonts w:ascii="Times New Roman" w:hAnsi="Times New Roman" w:cs="Times New Roman"/>
        </w:rPr>
      </w:pPr>
      <w:r>
        <w:rPr>
          <w:rFonts w:ascii="Times New Roman" w:hAnsi="Times New Roman" w:cs="Times New Roman"/>
        </w:rPr>
        <w:t xml:space="preserve">Table </w:t>
      </w:r>
      <w:r w:rsidR="00023ED4">
        <w:rPr>
          <w:rFonts w:ascii="Times New Roman" w:hAnsi="Times New Roman" w:cs="Times New Roman"/>
        </w:rPr>
        <w:t>1</w:t>
      </w:r>
      <w:r w:rsidR="00883191">
        <w:rPr>
          <w:rFonts w:ascii="Times New Roman" w:hAnsi="Times New Roman" w:cs="Times New Roman"/>
        </w:rPr>
        <w:t>1</w:t>
      </w:r>
    </w:p>
    <w:p w14:paraId="45306031" w14:textId="77777777" w:rsidR="0037311B" w:rsidRDefault="0037311B" w:rsidP="0037311B">
      <w:pPr>
        <w:spacing w:after="0"/>
        <w:jc w:val="center"/>
        <w:rPr>
          <w:rFonts w:ascii="Times New Roman" w:hAnsi="Times New Roman" w:cs="Times New Roman"/>
        </w:rPr>
      </w:pPr>
      <w:r>
        <w:rPr>
          <w:rFonts w:ascii="Times New Roman" w:hAnsi="Times New Roman" w:cs="Times New Roman"/>
        </w:rPr>
        <w:t>Levels Regressions for Labor Market Outcomes 2018</w:t>
      </w:r>
    </w:p>
    <w:p w14:paraId="6BE72006" w14:textId="77777777" w:rsidR="0037311B" w:rsidRDefault="0037311B" w:rsidP="0037311B">
      <w:pPr>
        <w:spacing w:after="0"/>
        <w:jc w:val="center"/>
        <w:rPr>
          <w:rFonts w:ascii="Times New Roman" w:hAnsi="Times New Roman" w:cs="Times New Roman"/>
        </w:rPr>
      </w:pPr>
    </w:p>
    <w:tbl>
      <w:tblPr>
        <w:tblStyle w:val="TableGrid"/>
        <w:tblW w:w="0" w:type="auto"/>
        <w:tblLook w:val="04A0" w:firstRow="1" w:lastRow="0" w:firstColumn="1" w:lastColumn="0" w:noHBand="0" w:noVBand="1"/>
        <w:tblCaption w:val="Levels Regressions"/>
        <w:tblDescription w:val="Shows regression coeffiients and t-statistics for levels regressions."/>
      </w:tblPr>
      <w:tblGrid>
        <w:gridCol w:w="2042"/>
        <w:gridCol w:w="1913"/>
        <w:gridCol w:w="1620"/>
        <w:gridCol w:w="1890"/>
      </w:tblGrid>
      <w:tr w:rsidR="00902FF9" w14:paraId="67FE8846" w14:textId="77777777" w:rsidTr="0031247E">
        <w:trPr>
          <w:tblHeader/>
        </w:trPr>
        <w:tc>
          <w:tcPr>
            <w:tcW w:w="2042" w:type="dxa"/>
          </w:tcPr>
          <w:p w14:paraId="1CC4796C" w14:textId="77777777" w:rsidR="00902FF9" w:rsidRDefault="00902FF9" w:rsidP="00A6640B">
            <w:r>
              <w:t xml:space="preserve">  </w:t>
            </w:r>
            <w:r w:rsidRPr="00855E3C">
              <w:rPr>
                <w:rFonts w:ascii="Times New Roman" w:hAnsi="Times New Roman" w:cs="Times New Roman"/>
              </w:rPr>
              <w:t>Variable</w:t>
            </w:r>
          </w:p>
        </w:tc>
        <w:tc>
          <w:tcPr>
            <w:tcW w:w="1913" w:type="dxa"/>
          </w:tcPr>
          <w:p w14:paraId="3872E5CC" w14:textId="77777777" w:rsidR="00902FF9" w:rsidRPr="00A40474" w:rsidRDefault="00902FF9" w:rsidP="0037311B">
            <w:pPr>
              <w:jc w:val="center"/>
              <w:rPr>
                <w:rFonts w:ascii="Times New Roman" w:hAnsi="Times New Roman" w:cs="Times New Roman"/>
              </w:rPr>
            </w:pPr>
            <w:r>
              <w:rPr>
                <w:rFonts w:ascii="Symbol" w:hAnsi="Symbol"/>
              </w:rPr>
              <w:t></w:t>
            </w:r>
            <w:r>
              <w:rPr>
                <w:rFonts w:ascii="Times New Roman" w:hAnsi="Times New Roman" w:cs="Times New Roman"/>
              </w:rPr>
              <w:t>Log Earnings</w:t>
            </w:r>
          </w:p>
        </w:tc>
        <w:tc>
          <w:tcPr>
            <w:tcW w:w="1620" w:type="dxa"/>
          </w:tcPr>
          <w:p w14:paraId="2AE69A7A" w14:textId="77777777" w:rsidR="00902FF9" w:rsidRPr="00A40474" w:rsidRDefault="00902FF9" w:rsidP="0037311B">
            <w:pPr>
              <w:jc w:val="center"/>
              <w:rPr>
                <w:rFonts w:ascii="Times New Roman" w:hAnsi="Times New Roman" w:cs="Times New Roman"/>
              </w:rPr>
            </w:pPr>
            <w:r>
              <w:rPr>
                <w:rFonts w:ascii="Times New Roman" w:hAnsi="Times New Roman" w:cs="Times New Roman"/>
              </w:rPr>
              <w:t>Weeks Worked</w:t>
            </w:r>
          </w:p>
        </w:tc>
        <w:tc>
          <w:tcPr>
            <w:tcW w:w="1890" w:type="dxa"/>
          </w:tcPr>
          <w:p w14:paraId="6BC10C37" w14:textId="77777777" w:rsidR="00902FF9" w:rsidRDefault="00902FF9" w:rsidP="00A6640B">
            <w:pPr>
              <w:jc w:val="center"/>
            </w:pPr>
            <w:r>
              <w:rPr>
                <w:rFonts w:ascii="Symbol" w:hAnsi="Symbol"/>
              </w:rPr>
              <w:t></w:t>
            </w:r>
            <w:r>
              <w:rPr>
                <w:rFonts w:ascii="Times New Roman" w:hAnsi="Times New Roman" w:cs="Times New Roman"/>
              </w:rPr>
              <w:t>#Employers</w:t>
            </w:r>
          </w:p>
        </w:tc>
      </w:tr>
      <w:tr w:rsidR="00902FF9" w14:paraId="3DCB01E0" w14:textId="77777777" w:rsidTr="00A6640B">
        <w:tc>
          <w:tcPr>
            <w:tcW w:w="2042" w:type="dxa"/>
          </w:tcPr>
          <w:p w14:paraId="2ABECDA8"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Eligible for WP</w:t>
            </w:r>
          </w:p>
        </w:tc>
        <w:tc>
          <w:tcPr>
            <w:tcW w:w="1913" w:type="dxa"/>
          </w:tcPr>
          <w:p w14:paraId="74E472E8" w14:textId="77777777" w:rsidR="00902FF9" w:rsidRDefault="00902FF9" w:rsidP="00A6640B">
            <w:pPr>
              <w:jc w:val="center"/>
              <w:rPr>
                <w:rFonts w:ascii="Times New Roman" w:hAnsi="Times New Roman" w:cs="Times New Roman"/>
              </w:rPr>
            </w:pPr>
            <w:r>
              <w:rPr>
                <w:rFonts w:ascii="Times New Roman" w:hAnsi="Times New Roman" w:cs="Times New Roman"/>
              </w:rPr>
              <w:t>0.0</w:t>
            </w:r>
            <w:r w:rsidR="00F83C3C">
              <w:rPr>
                <w:rFonts w:ascii="Times New Roman" w:hAnsi="Times New Roman" w:cs="Times New Roman"/>
              </w:rPr>
              <w:t>5</w:t>
            </w:r>
            <w:r w:rsidR="00347940">
              <w:rPr>
                <w:rFonts w:ascii="Times New Roman" w:hAnsi="Times New Roman" w:cs="Times New Roman"/>
              </w:rPr>
              <w:t>3</w:t>
            </w:r>
          </w:p>
          <w:p w14:paraId="7B19160E" w14:textId="77777777" w:rsidR="00902FF9" w:rsidRPr="00855E3C" w:rsidRDefault="00902FF9" w:rsidP="00347940">
            <w:pPr>
              <w:jc w:val="center"/>
              <w:rPr>
                <w:rFonts w:ascii="Times New Roman" w:hAnsi="Times New Roman" w:cs="Times New Roman"/>
              </w:rPr>
            </w:pPr>
            <w:r>
              <w:rPr>
                <w:rFonts w:ascii="Times New Roman" w:hAnsi="Times New Roman" w:cs="Times New Roman"/>
              </w:rPr>
              <w:t>(</w:t>
            </w:r>
            <w:r w:rsidR="00347940">
              <w:rPr>
                <w:rFonts w:ascii="Times New Roman" w:hAnsi="Times New Roman" w:cs="Times New Roman"/>
              </w:rPr>
              <w:t>1.69</w:t>
            </w:r>
            <w:r>
              <w:rPr>
                <w:rFonts w:ascii="Times New Roman" w:hAnsi="Times New Roman" w:cs="Times New Roman"/>
              </w:rPr>
              <w:t>)</w:t>
            </w:r>
          </w:p>
        </w:tc>
        <w:tc>
          <w:tcPr>
            <w:tcW w:w="1620" w:type="dxa"/>
          </w:tcPr>
          <w:p w14:paraId="0C7006F5" w14:textId="77777777" w:rsidR="00902FF9" w:rsidRDefault="00902FF9" w:rsidP="00A6640B">
            <w:pPr>
              <w:jc w:val="center"/>
              <w:rPr>
                <w:rFonts w:ascii="Times New Roman" w:hAnsi="Times New Roman" w:cs="Times New Roman"/>
              </w:rPr>
            </w:pPr>
            <w:r>
              <w:rPr>
                <w:rFonts w:ascii="Times New Roman" w:hAnsi="Times New Roman" w:cs="Times New Roman"/>
              </w:rPr>
              <w:t>1.39</w:t>
            </w:r>
          </w:p>
          <w:p w14:paraId="40C79FD3"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(4.12)</w:t>
            </w:r>
          </w:p>
        </w:tc>
        <w:tc>
          <w:tcPr>
            <w:tcW w:w="1890" w:type="dxa"/>
          </w:tcPr>
          <w:p w14:paraId="454B2BAE" w14:textId="77777777" w:rsidR="00902FF9" w:rsidRDefault="00902FF9" w:rsidP="00A6640B">
            <w:pPr>
              <w:jc w:val="center"/>
              <w:rPr>
                <w:rFonts w:ascii="Times New Roman" w:hAnsi="Times New Roman" w:cs="Times New Roman"/>
              </w:rPr>
            </w:pPr>
            <w:r>
              <w:rPr>
                <w:rFonts w:ascii="Times New Roman" w:hAnsi="Times New Roman" w:cs="Times New Roman"/>
              </w:rPr>
              <w:t>-0.004</w:t>
            </w:r>
          </w:p>
          <w:p w14:paraId="6FD79DBB"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(0.33)</w:t>
            </w:r>
          </w:p>
        </w:tc>
      </w:tr>
      <w:tr w:rsidR="00902FF9" w14:paraId="6435206F" w14:textId="77777777" w:rsidTr="00A6640B">
        <w:tc>
          <w:tcPr>
            <w:tcW w:w="2042" w:type="dxa"/>
          </w:tcPr>
          <w:p w14:paraId="3013BA6E"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Age</w:t>
            </w:r>
            <w:r>
              <w:rPr>
                <w:rFonts w:ascii="Times New Roman" w:hAnsi="Times New Roman" w:cs="Times New Roman"/>
              </w:rPr>
              <w:t xml:space="preserve"> in </w:t>
            </w:r>
            <w:r w:rsidRPr="00855E3C">
              <w:rPr>
                <w:rFonts w:ascii="Times New Roman" w:hAnsi="Times New Roman" w:cs="Times New Roman"/>
              </w:rPr>
              <w:t>2000</w:t>
            </w:r>
          </w:p>
        </w:tc>
        <w:tc>
          <w:tcPr>
            <w:tcW w:w="1913" w:type="dxa"/>
          </w:tcPr>
          <w:p w14:paraId="7FE3CF72" w14:textId="77777777" w:rsidR="00902FF9" w:rsidRDefault="00902FF9" w:rsidP="00A6640B">
            <w:pPr>
              <w:jc w:val="center"/>
              <w:rPr>
                <w:rFonts w:ascii="Times New Roman" w:hAnsi="Times New Roman" w:cs="Times New Roman"/>
              </w:rPr>
            </w:pPr>
            <w:r>
              <w:rPr>
                <w:rFonts w:ascii="Times New Roman" w:hAnsi="Times New Roman" w:cs="Times New Roman"/>
              </w:rPr>
              <w:t>0.0</w:t>
            </w:r>
            <w:r w:rsidR="00347940">
              <w:rPr>
                <w:rFonts w:ascii="Times New Roman" w:hAnsi="Times New Roman" w:cs="Times New Roman"/>
              </w:rPr>
              <w:t>04</w:t>
            </w:r>
          </w:p>
          <w:p w14:paraId="619A3F2C" w14:textId="77777777" w:rsidR="00902FF9" w:rsidRPr="00855E3C" w:rsidRDefault="00902FF9" w:rsidP="00347940">
            <w:pPr>
              <w:jc w:val="center"/>
              <w:rPr>
                <w:rFonts w:ascii="Times New Roman" w:hAnsi="Times New Roman" w:cs="Times New Roman"/>
              </w:rPr>
            </w:pPr>
            <w:r>
              <w:rPr>
                <w:rFonts w:ascii="Times New Roman" w:hAnsi="Times New Roman" w:cs="Times New Roman"/>
              </w:rPr>
              <w:t>(</w:t>
            </w:r>
            <w:r w:rsidR="00347940">
              <w:rPr>
                <w:rFonts w:ascii="Times New Roman" w:hAnsi="Times New Roman" w:cs="Times New Roman"/>
              </w:rPr>
              <w:t>0.54</w:t>
            </w:r>
            <w:r>
              <w:rPr>
                <w:rFonts w:ascii="Times New Roman" w:hAnsi="Times New Roman" w:cs="Times New Roman"/>
              </w:rPr>
              <w:t>)</w:t>
            </w:r>
          </w:p>
        </w:tc>
        <w:tc>
          <w:tcPr>
            <w:tcW w:w="1620" w:type="dxa"/>
          </w:tcPr>
          <w:p w14:paraId="75767770" w14:textId="77777777" w:rsidR="00902FF9" w:rsidRDefault="00902FF9" w:rsidP="00A6640B">
            <w:pPr>
              <w:jc w:val="center"/>
              <w:rPr>
                <w:rFonts w:ascii="Times New Roman" w:hAnsi="Times New Roman" w:cs="Times New Roman"/>
              </w:rPr>
            </w:pPr>
            <w:r>
              <w:rPr>
                <w:rFonts w:ascii="Times New Roman" w:hAnsi="Times New Roman" w:cs="Times New Roman"/>
              </w:rPr>
              <w:t>-0.837</w:t>
            </w:r>
          </w:p>
          <w:p w14:paraId="5CD0F893" w14:textId="77777777" w:rsidR="00902FF9" w:rsidRPr="00855E3C" w:rsidRDefault="00902FF9" w:rsidP="00082793">
            <w:pPr>
              <w:jc w:val="center"/>
              <w:rPr>
                <w:rFonts w:ascii="Times New Roman" w:hAnsi="Times New Roman" w:cs="Times New Roman"/>
              </w:rPr>
            </w:pPr>
            <w:r>
              <w:rPr>
                <w:rFonts w:ascii="Times New Roman" w:hAnsi="Times New Roman" w:cs="Times New Roman"/>
              </w:rPr>
              <w:t>(9.43)</w:t>
            </w:r>
          </w:p>
        </w:tc>
        <w:tc>
          <w:tcPr>
            <w:tcW w:w="1890" w:type="dxa"/>
          </w:tcPr>
          <w:p w14:paraId="57DD0707" w14:textId="77777777" w:rsidR="00902FF9" w:rsidRDefault="00902FF9" w:rsidP="00A6640B">
            <w:pPr>
              <w:jc w:val="center"/>
              <w:rPr>
                <w:rFonts w:ascii="Times New Roman" w:hAnsi="Times New Roman" w:cs="Times New Roman"/>
              </w:rPr>
            </w:pPr>
            <w:r>
              <w:rPr>
                <w:rFonts w:ascii="Times New Roman" w:hAnsi="Times New Roman" w:cs="Times New Roman"/>
              </w:rPr>
              <w:t>-0.032</w:t>
            </w:r>
          </w:p>
          <w:p w14:paraId="55637966"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(9.28)</w:t>
            </w:r>
          </w:p>
        </w:tc>
      </w:tr>
      <w:tr w:rsidR="00902FF9" w14:paraId="22935866" w14:textId="77777777" w:rsidTr="00A6640B">
        <w:tc>
          <w:tcPr>
            <w:tcW w:w="2042" w:type="dxa"/>
          </w:tcPr>
          <w:p w14:paraId="652A2F1E" w14:textId="77777777" w:rsidR="00902FF9" w:rsidRPr="00855E3C" w:rsidRDefault="00902FF9" w:rsidP="0037311B">
            <w:pPr>
              <w:rPr>
                <w:rFonts w:ascii="Times New Roman" w:hAnsi="Times New Roman" w:cs="Times New Roman"/>
              </w:rPr>
            </w:pPr>
            <w:r w:rsidRPr="00855E3C">
              <w:rPr>
                <w:rFonts w:ascii="Times New Roman" w:hAnsi="Times New Roman" w:cs="Times New Roman"/>
              </w:rPr>
              <w:t>Yrs_Exp</w:t>
            </w:r>
            <w:r>
              <w:rPr>
                <w:rFonts w:ascii="Times New Roman" w:hAnsi="Times New Roman" w:cs="Times New Roman"/>
              </w:rPr>
              <w:t>Y</w:t>
            </w:r>
            <w:r w:rsidRPr="00855E3C">
              <w:rPr>
                <w:rFonts w:ascii="Times New Roman" w:hAnsi="Times New Roman" w:cs="Times New Roman"/>
              </w:rPr>
              <w:t xml:space="preserve"> (Q1 2010 – Q</w:t>
            </w:r>
            <w:r>
              <w:rPr>
                <w:rFonts w:ascii="Times New Roman" w:hAnsi="Times New Roman" w:cs="Times New Roman"/>
              </w:rPr>
              <w:t>4</w:t>
            </w:r>
            <w:r w:rsidRPr="00855E3C">
              <w:rPr>
                <w:rFonts w:ascii="Times New Roman" w:hAnsi="Times New Roman" w:cs="Times New Roman"/>
              </w:rPr>
              <w:t>-201</w:t>
            </w:r>
            <w:r>
              <w:rPr>
                <w:rFonts w:ascii="Times New Roman" w:hAnsi="Times New Roman" w:cs="Times New Roman"/>
              </w:rPr>
              <w:t>7</w:t>
            </w:r>
            <w:r w:rsidRPr="00855E3C">
              <w:rPr>
                <w:rFonts w:ascii="Times New Roman" w:hAnsi="Times New Roman" w:cs="Times New Roman"/>
              </w:rPr>
              <w:t>)</w:t>
            </w:r>
          </w:p>
        </w:tc>
        <w:tc>
          <w:tcPr>
            <w:tcW w:w="1913" w:type="dxa"/>
          </w:tcPr>
          <w:p w14:paraId="1E5E8836"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0.3</w:t>
            </w:r>
            <w:r w:rsidR="00347940">
              <w:rPr>
                <w:rFonts w:ascii="Times New Roman" w:hAnsi="Times New Roman" w:cs="Times New Roman"/>
              </w:rPr>
              <w:t>28</w:t>
            </w:r>
          </w:p>
          <w:p w14:paraId="2B9C5231" w14:textId="77777777" w:rsidR="00902FF9" w:rsidRPr="00855E3C" w:rsidRDefault="00902FF9" w:rsidP="00347940">
            <w:pPr>
              <w:jc w:val="center"/>
              <w:rPr>
                <w:rFonts w:ascii="Times New Roman" w:hAnsi="Times New Roman" w:cs="Times New Roman"/>
              </w:rPr>
            </w:pPr>
            <w:r w:rsidRPr="00855E3C">
              <w:rPr>
                <w:rFonts w:ascii="Times New Roman" w:hAnsi="Times New Roman" w:cs="Times New Roman"/>
              </w:rPr>
              <w:t>(</w:t>
            </w:r>
            <w:r w:rsidR="00347940">
              <w:rPr>
                <w:rFonts w:ascii="Times New Roman" w:hAnsi="Times New Roman" w:cs="Times New Roman"/>
              </w:rPr>
              <w:t>27.01</w:t>
            </w:r>
            <w:r w:rsidRPr="00855E3C">
              <w:rPr>
                <w:rFonts w:ascii="Times New Roman" w:hAnsi="Times New Roman" w:cs="Times New Roman"/>
              </w:rPr>
              <w:t>)</w:t>
            </w:r>
          </w:p>
        </w:tc>
        <w:tc>
          <w:tcPr>
            <w:tcW w:w="1620" w:type="dxa"/>
          </w:tcPr>
          <w:p w14:paraId="2709DBB9" w14:textId="77777777" w:rsidR="00902FF9" w:rsidRDefault="00902FF9" w:rsidP="00A6640B">
            <w:pPr>
              <w:jc w:val="center"/>
              <w:rPr>
                <w:rFonts w:ascii="Times New Roman" w:hAnsi="Times New Roman" w:cs="Times New Roman"/>
              </w:rPr>
            </w:pPr>
            <w:r>
              <w:rPr>
                <w:rFonts w:ascii="Times New Roman" w:hAnsi="Times New Roman" w:cs="Times New Roman"/>
              </w:rPr>
              <w:t>6.449</w:t>
            </w:r>
          </w:p>
          <w:p w14:paraId="403F0B58"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(48.06)</w:t>
            </w:r>
          </w:p>
        </w:tc>
        <w:tc>
          <w:tcPr>
            <w:tcW w:w="1890" w:type="dxa"/>
          </w:tcPr>
          <w:p w14:paraId="4DA2FF37" w14:textId="77777777" w:rsidR="00902FF9" w:rsidRDefault="00902FF9" w:rsidP="00A6640B">
            <w:pPr>
              <w:jc w:val="center"/>
              <w:rPr>
                <w:rFonts w:ascii="Times New Roman" w:hAnsi="Times New Roman" w:cs="Times New Roman"/>
              </w:rPr>
            </w:pPr>
            <w:r>
              <w:rPr>
                <w:rFonts w:ascii="Times New Roman" w:hAnsi="Times New Roman" w:cs="Times New Roman"/>
              </w:rPr>
              <w:t>0.221</w:t>
            </w:r>
          </w:p>
          <w:p w14:paraId="0125CF6E"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(41.98)</w:t>
            </w:r>
          </w:p>
        </w:tc>
      </w:tr>
      <w:tr w:rsidR="00902FF9" w14:paraId="1EB143C4" w14:textId="77777777" w:rsidTr="00A6640B">
        <w:tc>
          <w:tcPr>
            <w:tcW w:w="2042" w:type="dxa"/>
          </w:tcPr>
          <w:p w14:paraId="09B305B2" w14:textId="77777777" w:rsidR="00902FF9" w:rsidRPr="00855E3C" w:rsidRDefault="00902FF9" w:rsidP="00A6640B">
            <w:pPr>
              <w:rPr>
                <w:rFonts w:ascii="Times New Roman" w:hAnsi="Times New Roman" w:cs="Times New Roman"/>
              </w:rPr>
            </w:pPr>
            <w:r>
              <w:rPr>
                <w:rFonts w:ascii="Times New Roman" w:hAnsi="Times New Roman" w:cs="Times New Roman"/>
              </w:rPr>
              <w:t>County Return to Firm Exp</w:t>
            </w:r>
          </w:p>
        </w:tc>
        <w:tc>
          <w:tcPr>
            <w:tcW w:w="1913" w:type="dxa"/>
          </w:tcPr>
          <w:p w14:paraId="33EE24F7"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0.00</w:t>
            </w:r>
            <w:r w:rsidR="00347940">
              <w:rPr>
                <w:rFonts w:ascii="Times New Roman" w:hAnsi="Times New Roman" w:cs="Times New Roman"/>
              </w:rPr>
              <w:t>3</w:t>
            </w:r>
          </w:p>
          <w:p w14:paraId="520CE8C4" w14:textId="77777777" w:rsidR="00902FF9" w:rsidRPr="00855E3C" w:rsidRDefault="00902FF9" w:rsidP="00347940">
            <w:pPr>
              <w:jc w:val="center"/>
              <w:rPr>
                <w:rFonts w:ascii="Times New Roman" w:hAnsi="Times New Roman" w:cs="Times New Roman"/>
              </w:rPr>
            </w:pPr>
            <w:r w:rsidRPr="00855E3C">
              <w:rPr>
                <w:rFonts w:ascii="Times New Roman" w:hAnsi="Times New Roman" w:cs="Times New Roman"/>
              </w:rPr>
              <w:t>(</w:t>
            </w:r>
            <w:r>
              <w:rPr>
                <w:rFonts w:ascii="Times New Roman" w:hAnsi="Times New Roman" w:cs="Times New Roman"/>
              </w:rPr>
              <w:t>0.</w:t>
            </w:r>
            <w:r w:rsidR="00347940">
              <w:rPr>
                <w:rFonts w:ascii="Times New Roman" w:hAnsi="Times New Roman" w:cs="Times New Roman"/>
              </w:rPr>
              <w:t>19</w:t>
            </w:r>
            <w:r>
              <w:rPr>
                <w:rFonts w:ascii="Times New Roman" w:hAnsi="Times New Roman" w:cs="Times New Roman"/>
              </w:rPr>
              <w:t>)</w:t>
            </w:r>
          </w:p>
        </w:tc>
        <w:tc>
          <w:tcPr>
            <w:tcW w:w="1620" w:type="dxa"/>
          </w:tcPr>
          <w:p w14:paraId="544A7EE8" w14:textId="77777777" w:rsidR="00902FF9" w:rsidRDefault="00902FF9" w:rsidP="00A6640B">
            <w:pPr>
              <w:jc w:val="center"/>
              <w:rPr>
                <w:rFonts w:ascii="Times New Roman" w:hAnsi="Times New Roman" w:cs="Times New Roman"/>
              </w:rPr>
            </w:pPr>
            <w:r>
              <w:rPr>
                <w:rFonts w:ascii="Times New Roman" w:hAnsi="Times New Roman" w:cs="Times New Roman"/>
              </w:rPr>
              <w:t>-0.132</w:t>
            </w:r>
          </w:p>
          <w:p w14:paraId="48F36864"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(0.77)</w:t>
            </w:r>
          </w:p>
        </w:tc>
        <w:tc>
          <w:tcPr>
            <w:tcW w:w="1890" w:type="dxa"/>
          </w:tcPr>
          <w:p w14:paraId="3CF8A390" w14:textId="77777777" w:rsidR="00902FF9" w:rsidRDefault="00902FF9" w:rsidP="00A6640B">
            <w:pPr>
              <w:jc w:val="center"/>
              <w:rPr>
                <w:rFonts w:ascii="Times New Roman" w:hAnsi="Times New Roman" w:cs="Times New Roman"/>
              </w:rPr>
            </w:pPr>
            <w:r>
              <w:rPr>
                <w:rFonts w:ascii="Times New Roman" w:hAnsi="Times New Roman" w:cs="Times New Roman"/>
              </w:rPr>
              <w:t>0.006</w:t>
            </w:r>
          </w:p>
          <w:p w14:paraId="29A79FFC"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(0.85)</w:t>
            </w:r>
          </w:p>
        </w:tc>
      </w:tr>
      <w:tr w:rsidR="00902FF9" w14:paraId="09B803EB" w14:textId="77777777" w:rsidTr="00A6640B">
        <w:tc>
          <w:tcPr>
            <w:tcW w:w="2042" w:type="dxa"/>
          </w:tcPr>
          <w:p w14:paraId="1181790B" w14:textId="77777777" w:rsidR="00902FF9" w:rsidRPr="00855E3C" w:rsidRDefault="00902FF9" w:rsidP="00A6640B">
            <w:pPr>
              <w:rPr>
                <w:rFonts w:ascii="Times New Roman" w:hAnsi="Times New Roman" w:cs="Times New Roman"/>
              </w:rPr>
            </w:pPr>
            <w:r>
              <w:rPr>
                <w:rFonts w:ascii="Times New Roman" w:hAnsi="Times New Roman" w:cs="Times New Roman"/>
              </w:rPr>
              <w:t>County %Youth in youth-intensive Ind</w:t>
            </w:r>
          </w:p>
        </w:tc>
        <w:tc>
          <w:tcPr>
            <w:tcW w:w="1913" w:type="dxa"/>
          </w:tcPr>
          <w:p w14:paraId="2F0D4F5F"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w:t>
            </w:r>
            <w:r w:rsidR="00347940">
              <w:rPr>
                <w:rFonts w:ascii="Times New Roman" w:hAnsi="Times New Roman" w:cs="Times New Roman"/>
              </w:rPr>
              <w:t>109</w:t>
            </w:r>
          </w:p>
          <w:p w14:paraId="2CAAC814" w14:textId="77777777" w:rsidR="00902FF9" w:rsidRPr="00855E3C" w:rsidRDefault="00902FF9" w:rsidP="00347940">
            <w:pPr>
              <w:jc w:val="center"/>
              <w:rPr>
                <w:rFonts w:ascii="Times New Roman" w:hAnsi="Times New Roman" w:cs="Times New Roman"/>
              </w:rPr>
            </w:pPr>
            <w:r>
              <w:rPr>
                <w:rFonts w:ascii="Times New Roman" w:hAnsi="Times New Roman" w:cs="Times New Roman"/>
              </w:rPr>
              <w:t>(</w:t>
            </w:r>
            <w:r w:rsidR="00347940">
              <w:rPr>
                <w:rFonts w:ascii="Times New Roman" w:hAnsi="Times New Roman" w:cs="Times New Roman"/>
              </w:rPr>
              <w:t>1.70</w:t>
            </w:r>
            <w:r>
              <w:rPr>
                <w:rFonts w:ascii="Times New Roman" w:hAnsi="Times New Roman" w:cs="Times New Roman"/>
              </w:rPr>
              <w:t>)</w:t>
            </w:r>
          </w:p>
        </w:tc>
        <w:tc>
          <w:tcPr>
            <w:tcW w:w="1620" w:type="dxa"/>
          </w:tcPr>
          <w:p w14:paraId="2ECA7591" w14:textId="77777777" w:rsidR="00902FF9" w:rsidRDefault="00902FF9" w:rsidP="00A6640B">
            <w:pPr>
              <w:jc w:val="center"/>
              <w:rPr>
                <w:rFonts w:ascii="Times New Roman" w:hAnsi="Times New Roman" w:cs="Times New Roman"/>
              </w:rPr>
            </w:pPr>
            <w:r>
              <w:rPr>
                <w:rFonts w:ascii="Times New Roman" w:hAnsi="Times New Roman" w:cs="Times New Roman"/>
              </w:rPr>
              <w:t>0.250</w:t>
            </w:r>
          </w:p>
          <w:p w14:paraId="280D0E66"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(0.37)</w:t>
            </w:r>
          </w:p>
        </w:tc>
        <w:tc>
          <w:tcPr>
            <w:tcW w:w="1890" w:type="dxa"/>
          </w:tcPr>
          <w:p w14:paraId="17EE26EA" w14:textId="77777777" w:rsidR="00902FF9" w:rsidRDefault="00902FF9" w:rsidP="00A6640B">
            <w:pPr>
              <w:jc w:val="center"/>
              <w:rPr>
                <w:rFonts w:ascii="Times New Roman" w:hAnsi="Times New Roman" w:cs="Times New Roman"/>
              </w:rPr>
            </w:pPr>
            <w:r>
              <w:rPr>
                <w:rFonts w:ascii="Times New Roman" w:hAnsi="Times New Roman" w:cs="Times New Roman"/>
              </w:rPr>
              <w:t>0.104</w:t>
            </w:r>
          </w:p>
          <w:p w14:paraId="265799E7"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(3.91)</w:t>
            </w:r>
          </w:p>
        </w:tc>
      </w:tr>
      <w:tr w:rsidR="00902FF9" w14:paraId="5094E832" w14:textId="77777777" w:rsidTr="00A6640B">
        <w:tc>
          <w:tcPr>
            <w:tcW w:w="2042" w:type="dxa"/>
          </w:tcPr>
          <w:p w14:paraId="737B0F68" w14:textId="77777777" w:rsidR="00902FF9" w:rsidRPr="00855E3C" w:rsidRDefault="00902FF9" w:rsidP="00A6640B">
            <w:pPr>
              <w:rPr>
                <w:rFonts w:ascii="Times New Roman" w:hAnsi="Times New Roman" w:cs="Times New Roman"/>
              </w:rPr>
            </w:pPr>
            <w:r>
              <w:rPr>
                <w:rFonts w:ascii="Times New Roman" w:hAnsi="Times New Roman" w:cs="Times New Roman"/>
              </w:rPr>
              <w:t>County %Youth ever Employed</w:t>
            </w:r>
          </w:p>
        </w:tc>
        <w:tc>
          <w:tcPr>
            <w:tcW w:w="1913" w:type="dxa"/>
          </w:tcPr>
          <w:p w14:paraId="530AFC18" w14:textId="77777777" w:rsidR="00902FF9" w:rsidRDefault="00902FF9" w:rsidP="00A6640B">
            <w:pPr>
              <w:jc w:val="center"/>
              <w:rPr>
                <w:rFonts w:ascii="Times New Roman" w:hAnsi="Times New Roman" w:cs="Times New Roman"/>
              </w:rPr>
            </w:pPr>
            <w:r>
              <w:rPr>
                <w:rFonts w:ascii="Times New Roman" w:hAnsi="Times New Roman" w:cs="Times New Roman"/>
              </w:rPr>
              <w:t>-0.0</w:t>
            </w:r>
            <w:r w:rsidR="00347940">
              <w:rPr>
                <w:rFonts w:ascii="Times New Roman" w:hAnsi="Times New Roman" w:cs="Times New Roman"/>
              </w:rPr>
              <w:t>28</w:t>
            </w:r>
          </w:p>
          <w:p w14:paraId="67761389" w14:textId="77777777" w:rsidR="00902FF9" w:rsidRDefault="00902FF9" w:rsidP="00347940">
            <w:pPr>
              <w:jc w:val="center"/>
              <w:rPr>
                <w:rFonts w:ascii="Times New Roman" w:hAnsi="Times New Roman" w:cs="Times New Roman"/>
              </w:rPr>
            </w:pPr>
            <w:r>
              <w:rPr>
                <w:rFonts w:ascii="Times New Roman" w:hAnsi="Times New Roman" w:cs="Times New Roman"/>
              </w:rPr>
              <w:t>(</w:t>
            </w:r>
            <w:r w:rsidR="00347940">
              <w:rPr>
                <w:rFonts w:ascii="Times New Roman" w:hAnsi="Times New Roman" w:cs="Times New Roman"/>
              </w:rPr>
              <w:t>2.74</w:t>
            </w:r>
            <w:r>
              <w:rPr>
                <w:rFonts w:ascii="Times New Roman" w:hAnsi="Times New Roman" w:cs="Times New Roman"/>
              </w:rPr>
              <w:t>)</w:t>
            </w:r>
          </w:p>
        </w:tc>
        <w:tc>
          <w:tcPr>
            <w:tcW w:w="1620" w:type="dxa"/>
          </w:tcPr>
          <w:p w14:paraId="37D86169" w14:textId="77777777" w:rsidR="00902FF9" w:rsidRDefault="00902FF9" w:rsidP="00A6640B">
            <w:pPr>
              <w:jc w:val="center"/>
              <w:rPr>
                <w:rFonts w:ascii="Times New Roman" w:hAnsi="Times New Roman" w:cs="Times New Roman"/>
              </w:rPr>
            </w:pPr>
            <w:r>
              <w:rPr>
                <w:rFonts w:ascii="Times New Roman" w:hAnsi="Times New Roman" w:cs="Times New Roman"/>
              </w:rPr>
              <w:t>0.246</w:t>
            </w:r>
          </w:p>
          <w:p w14:paraId="031DCF8A" w14:textId="77777777" w:rsidR="00902FF9" w:rsidRDefault="00902FF9" w:rsidP="006F5B7C">
            <w:pPr>
              <w:jc w:val="center"/>
              <w:rPr>
                <w:rFonts w:ascii="Times New Roman" w:hAnsi="Times New Roman" w:cs="Times New Roman"/>
              </w:rPr>
            </w:pPr>
            <w:r>
              <w:rPr>
                <w:rFonts w:ascii="Times New Roman" w:hAnsi="Times New Roman" w:cs="Times New Roman"/>
              </w:rPr>
              <w:t>(2.32)</w:t>
            </w:r>
          </w:p>
        </w:tc>
        <w:tc>
          <w:tcPr>
            <w:tcW w:w="1890" w:type="dxa"/>
          </w:tcPr>
          <w:p w14:paraId="29AFA52B" w14:textId="77777777" w:rsidR="00902FF9" w:rsidRDefault="00902FF9" w:rsidP="00A6640B">
            <w:pPr>
              <w:jc w:val="center"/>
              <w:rPr>
                <w:rFonts w:ascii="Times New Roman" w:hAnsi="Times New Roman" w:cs="Times New Roman"/>
              </w:rPr>
            </w:pPr>
            <w:r>
              <w:rPr>
                <w:rFonts w:ascii="Times New Roman" w:hAnsi="Times New Roman" w:cs="Times New Roman"/>
              </w:rPr>
              <w:t>0.006</w:t>
            </w:r>
          </w:p>
          <w:p w14:paraId="526039C4" w14:textId="77777777" w:rsidR="00902FF9" w:rsidRDefault="00902FF9" w:rsidP="00902FF9">
            <w:pPr>
              <w:jc w:val="center"/>
              <w:rPr>
                <w:rFonts w:ascii="Times New Roman" w:hAnsi="Times New Roman" w:cs="Times New Roman"/>
              </w:rPr>
            </w:pPr>
            <w:r>
              <w:rPr>
                <w:rFonts w:ascii="Times New Roman" w:hAnsi="Times New Roman" w:cs="Times New Roman"/>
              </w:rPr>
              <w:t>(1.53)</w:t>
            </w:r>
          </w:p>
        </w:tc>
      </w:tr>
      <w:tr w:rsidR="00902FF9" w14:paraId="3E11A080" w14:textId="77777777" w:rsidTr="00A6640B">
        <w:tc>
          <w:tcPr>
            <w:tcW w:w="2042" w:type="dxa"/>
          </w:tcPr>
          <w:p w14:paraId="7B9CB7C1"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Gender</w:t>
            </w:r>
          </w:p>
        </w:tc>
        <w:tc>
          <w:tcPr>
            <w:tcW w:w="1913" w:type="dxa"/>
          </w:tcPr>
          <w:p w14:paraId="46424F0A"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w:t>
            </w:r>
            <w:r w:rsidR="00347940">
              <w:rPr>
                <w:rFonts w:ascii="Times New Roman" w:hAnsi="Times New Roman" w:cs="Times New Roman"/>
              </w:rPr>
              <w:t>114</w:t>
            </w:r>
          </w:p>
          <w:p w14:paraId="78DF0A12" w14:textId="77777777" w:rsidR="00902FF9" w:rsidRPr="00855E3C" w:rsidRDefault="00902FF9" w:rsidP="00B728DA">
            <w:pPr>
              <w:jc w:val="center"/>
              <w:rPr>
                <w:rFonts w:ascii="Times New Roman" w:hAnsi="Times New Roman" w:cs="Times New Roman"/>
              </w:rPr>
            </w:pPr>
            <w:r w:rsidRPr="00855E3C">
              <w:rPr>
                <w:rFonts w:ascii="Times New Roman" w:hAnsi="Times New Roman" w:cs="Times New Roman"/>
              </w:rPr>
              <w:t>(</w:t>
            </w:r>
            <w:r w:rsidR="00B728DA">
              <w:rPr>
                <w:rFonts w:ascii="Times New Roman" w:hAnsi="Times New Roman" w:cs="Times New Roman"/>
              </w:rPr>
              <w:t>6.55</w:t>
            </w:r>
            <w:r w:rsidRPr="00855E3C">
              <w:rPr>
                <w:rFonts w:ascii="Times New Roman" w:hAnsi="Times New Roman" w:cs="Times New Roman"/>
              </w:rPr>
              <w:t>)</w:t>
            </w:r>
          </w:p>
        </w:tc>
        <w:tc>
          <w:tcPr>
            <w:tcW w:w="1620" w:type="dxa"/>
          </w:tcPr>
          <w:p w14:paraId="1F9253C5" w14:textId="77777777" w:rsidR="00902FF9" w:rsidRDefault="00902FF9" w:rsidP="00A6640B">
            <w:pPr>
              <w:jc w:val="center"/>
              <w:rPr>
                <w:rFonts w:ascii="Times New Roman" w:hAnsi="Times New Roman" w:cs="Times New Roman"/>
              </w:rPr>
            </w:pPr>
            <w:r>
              <w:rPr>
                <w:rFonts w:ascii="Times New Roman" w:hAnsi="Times New Roman" w:cs="Times New Roman"/>
              </w:rPr>
              <w:t>1.091</w:t>
            </w:r>
          </w:p>
          <w:p w14:paraId="4BA47087"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(3.44)</w:t>
            </w:r>
          </w:p>
        </w:tc>
        <w:tc>
          <w:tcPr>
            <w:tcW w:w="1890" w:type="dxa"/>
          </w:tcPr>
          <w:p w14:paraId="7E7DBB36" w14:textId="77777777" w:rsidR="00902FF9" w:rsidRDefault="00902FF9" w:rsidP="00A6640B">
            <w:pPr>
              <w:jc w:val="center"/>
              <w:rPr>
                <w:rFonts w:ascii="Times New Roman" w:hAnsi="Times New Roman" w:cs="Times New Roman"/>
              </w:rPr>
            </w:pPr>
            <w:r>
              <w:rPr>
                <w:rFonts w:ascii="Times New Roman" w:hAnsi="Times New Roman" w:cs="Times New Roman"/>
              </w:rPr>
              <w:t>0.064</w:t>
            </w:r>
          </w:p>
          <w:p w14:paraId="38841475"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(5.18)</w:t>
            </w:r>
          </w:p>
        </w:tc>
      </w:tr>
      <w:tr w:rsidR="00902FF9" w14:paraId="6BC89D89" w14:textId="77777777" w:rsidTr="00A6640B">
        <w:tc>
          <w:tcPr>
            <w:tcW w:w="2042" w:type="dxa"/>
          </w:tcPr>
          <w:p w14:paraId="454719BA"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 xml:space="preserve">#Months SNAP </w:t>
            </w:r>
          </w:p>
        </w:tc>
        <w:tc>
          <w:tcPr>
            <w:tcW w:w="1913" w:type="dxa"/>
          </w:tcPr>
          <w:p w14:paraId="53B2DC7F"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-0.002</w:t>
            </w:r>
          </w:p>
          <w:p w14:paraId="0FC1CB82" w14:textId="77777777" w:rsidR="00902FF9" w:rsidRPr="00855E3C" w:rsidRDefault="00902FF9" w:rsidP="00B728DA">
            <w:pPr>
              <w:jc w:val="center"/>
              <w:rPr>
                <w:rFonts w:ascii="Times New Roman" w:hAnsi="Times New Roman" w:cs="Times New Roman"/>
              </w:rPr>
            </w:pPr>
            <w:r>
              <w:rPr>
                <w:rFonts w:ascii="Times New Roman" w:hAnsi="Times New Roman" w:cs="Times New Roman"/>
              </w:rPr>
              <w:t>(6.</w:t>
            </w:r>
            <w:r w:rsidR="00B728DA">
              <w:rPr>
                <w:rFonts w:ascii="Times New Roman" w:hAnsi="Times New Roman" w:cs="Times New Roman"/>
              </w:rPr>
              <w:t>55</w:t>
            </w:r>
            <w:r w:rsidRPr="00855E3C">
              <w:rPr>
                <w:rFonts w:ascii="Times New Roman" w:hAnsi="Times New Roman" w:cs="Times New Roman"/>
              </w:rPr>
              <w:t>)</w:t>
            </w:r>
          </w:p>
        </w:tc>
        <w:tc>
          <w:tcPr>
            <w:tcW w:w="1620" w:type="dxa"/>
          </w:tcPr>
          <w:p w14:paraId="18A8E5C3" w14:textId="77777777" w:rsidR="00902FF9" w:rsidRDefault="00902FF9" w:rsidP="00A6640B">
            <w:pPr>
              <w:jc w:val="center"/>
              <w:rPr>
                <w:rFonts w:ascii="Times New Roman" w:hAnsi="Times New Roman" w:cs="Times New Roman"/>
              </w:rPr>
            </w:pPr>
            <w:r>
              <w:rPr>
                <w:rFonts w:ascii="Times New Roman" w:hAnsi="Times New Roman" w:cs="Times New Roman"/>
              </w:rPr>
              <w:t>-0.015</w:t>
            </w:r>
          </w:p>
          <w:p w14:paraId="228331C6"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(5.74)</w:t>
            </w:r>
          </w:p>
        </w:tc>
        <w:tc>
          <w:tcPr>
            <w:tcW w:w="1890" w:type="dxa"/>
          </w:tcPr>
          <w:p w14:paraId="1E193ACB" w14:textId="77777777" w:rsidR="00902FF9" w:rsidRDefault="00902FF9" w:rsidP="00A6640B">
            <w:pPr>
              <w:jc w:val="center"/>
              <w:rPr>
                <w:rFonts w:ascii="Times New Roman" w:hAnsi="Times New Roman" w:cs="Times New Roman"/>
              </w:rPr>
            </w:pPr>
            <w:r>
              <w:rPr>
                <w:rFonts w:ascii="Times New Roman" w:hAnsi="Times New Roman" w:cs="Times New Roman"/>
              </w:rPr>
              <w:t>-0.0002</w:t>
            </w:r>
          </w:p>
          <w:p w14:paraId="48F14A9F"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(2.58)</w:t>
            </w:r>
          </w:p>
        </w:tc>
      </w:tr>
      <w:tr w:rsidR="00902FF9" w14:paraId="365FFAAC" w14:textId="77777777" w:rsidTr="00A6640B">
        <w:tc>
          <w:tcPr>
            <w:tcW w:w="2042" w:type="dxa"/>
          </w:tcPr>
          <w:p w14:paraId="0A508091"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#Months TANF</w:t>
            </w:r>
          </w:p>
        </w:tc>
        <w:tc>
          <w:tcPr>
            <w:tcW w:w="1913" w:type="dxa"/>
          </w:tcPr>
          <w:p w14:paraId="4D60EE73"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0.000</w:t>
            </w:r>
          </w:p>
          <w:p w14:paraId="1AA89F53" w14:textId="77777777" w:rsidR="00902FF9" w:rsidRPr="00855E3C" w:rsidRDefault="00902FF9" w:rsidP="00B728DA">
            <w:pPr>
              <w:jc w:val="center"/>
              <w:rPr>
                <w:rFonts w:ascii="Times New Roman" w:hAnsi="Times New Roman" w:cs="Times New Roman"/>
              </w:rPr>
            </w:pPr>
            <w:r>
              <w:rPr>
                <w:rFonts w:ascii="Times New Roman" w:hAnsi="Times New Roman" w:cs="Times New Roman"/>
              </w:rPr>
              <w:t>(0.</w:t>
            </w:r>
            <w:r w:rsidR="00B728DA">
              <w:rPr>
                <w:rFonts w:ascii="Times New Roman" w:hAnsi="Times New Roman" w:cs="Times New Roman"/>
              </w:rPr>
              <w:t>15</w:t>
            </w:r>
            <w:r w:rsidRPr="00855E3C">
              <w:rPr>
                <w:rFonts w:ascii="Times New Roman" w:hAnsi="Times New Roman" w:cs="Times New Roman"/>
              </w:rPr>
              <w:t>)</w:t>
            </w:r>
          </w:p>
        </w:tc>
        <w:tc>
          <w:tcPr>
            <w:tcW w:w="1620" w:type="dxa"/>
          </w:tcPr>
          <w:p w14:paraId="51F4FC0F" w14:textId="77777777" w:rsidR="00902FF9" w:rsidRDefault="00902FF9" w:rsidP="00A6640B">
            <w:pPr>
              <w:jc w:val="center"/>
              <w:rPr>
                <w:rFonts w:ascii="Times New Roman" w:hAnsi="Times New Roman" w:cs="Times New Roman"/>
              </w:rPr>
            </w:pPr>
            <w:r>
              <w:rPr>
                <w:rFonts w:ascii="Times New Roman" w:hAnsi="Times New Roman" w:cs="Times New Roman"/>
              </w:rPr>
              <w:t>0.004</w:t>
            </w:r>
          </w:p>
          <w:p w14:paraId="3E769B2C"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(0.89)</w:t>
            </w:r>
          </w:p>
        </w:tc>
        <w:tc>
          <w:tcPr>
            <w:tcW w:w="1890" w:type="dxa"/>
          </w:tcPr>
          <w:p w14:paraId="672BCB03" w14:textId="77777777" w:rsidR="00902FF9" w:rsidRDefault="00902FF9" w:rsidP="00A6640B">
            <w:pPr>
              <w:jc w:val="center"/>
              <w:rPr>
                <w:rFonts w:ascii="Times New Roman" w:hAnsi="Times New Roman" w:cs="Times New Roman"/>
              </w:rPr>
            </w:pPr>
            <w:r>
              <w:rPr>
                <w:rFonts w:ascii="Times New Roman" w:hAnsi="Times New Roman" w:cs="Times New Roman"/>
              </w:rPr>
              <w:t>0.0001</w:t>
            </w:r>
          </w:p>
          <w:p w14:paraId="16181EBD"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(0.66)</w:t>
            </w:r>
          </w:p>
        </w:tc>
      </w:tr>
      <w:tr w:rsidR="00902FF9" w14:paraId="5D54DA62" w14:textId="77777777" w:rsidTr="00A6640B">
        <w:tc>
          <w:tcPr>
            <w:tcW w:w="2042" w:type="dxa"/>
          </w:tcPr>
          <w:p w14:paraId="1B20734D"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Highest Grade Completed</w:t>
            </w:r>
          </w:p>
        </w:tc>
        <w:tc>
          <w:tcPr>
            <w:tcW w:w="1913" w:type="dxa"/>
          </w:tcPr>
          <w:p w14:paraId="46F40A25"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0.0</w:t>
            </w:r>
            <w:r w:rsidR="00B728DA">
              <w:rPr>
                <w:rFonts w:ascii="Times New Roman" w:hAnsi="Times New Roman" w:cs="Times New Roman"/>
              </w:rPr>
              <w:t>37</w:t>
            </w:r>
          </w:p>
          <w:p w14:paraId="1B35F79F" w14:textId="77777777" w:rsidR="00902FF9" w:rsidRPr="00855E3C" w:rsidRDefault="00B728DA" w:rsidP="00A6640B">
            <w:pPr>
              <w:jc w:val="center"/>
              <w:rPr>
                <w:rFonts w:ascii="Times New Roman" w:hAnsi="Times New Roman" w:cs="Times New Roman"/>
              </w:rPr>
            </w:pPr>
            <w:r>
              <w:rPr>
                <w:rFonts w:ascii="Times New Roman" w:hAnsi="Times New Roman" w:cs="Times New Roman"/>
              </w:rPr>
              <w:t>4.89</w:t>
            </w:r>
          </w:p>
        </w:tc>
        <w:tc>
          <w:tcPr>
            <w:tcW w:w="1620" w:type="dxa"/>
          </w:tcPr>
          <w:p w14:paraId="006961DD" w14:textId="77777777" w:rsidR="00902FF9" w:rsidRDefault="00902FF9" w:rsidP="00A6640B">
            <w:pPr>
              <w:jc w:val="center"/>
              <w:rPr>
                <w:rFonts w:ascii="Times New Roman" w:hAnsi="Times New Roman" w:cs="Times New Roman"/>
              </w:rPr>
            </w:pPr>
            <w:r>
              <w:rPr>
                <w:rFonts w:ascii="Times New Roman" w:hAnsi="Times New Roman" w:cs="Times New Roman"/>
              </w:rPr>
              <w:t>0.309</w:t>
            </w:r>
          </w:p>
          <w:p w14:paraId="65DBF941"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(3.74)</w:t>
            </w:r>
          </w:p>
        </w:tc>
        <w:tc>
          <w:tcPr>
            <w:tcW w:w="1890" w:type="dxa"/>
          </w:tcPr>
          <w:p w14:paraId="42F625A1" w14:textId="77777777" w:rsidR="00902FF9" w:rsidRDefault="00902FF9" w:rsidP="00902FF9">
            <w:pPr>
              <w:jc w:val="center"/>
              <w:rPr>
                <w:rFonts w:ascii="Times New Roman" w:hAnsi="Times New Roman" w:cs="Times New Roman"/>
              </w:rPr>
            </w:pPr>
            <w:r>
              <w:rPr>
                <w:rFonts w:ascii="Times New Roman" w:hAnsi="Times New Roman" w:cs="Times New Roman"/>
              </w:rPr>
              <w:t>0.010</w:t>
            </w:r>
          </w:p>
          <w:p w14:paraId="780E72BE"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(3.05)</w:t>
            </w:r>
          </w:p>
        </w:tc>
      </w:tr>
      <w:tr w:rsidR="00902FF9" w14:paraId="558E5CAE" w14:textId="77777777" w:rsidTr="00A6640B">
        <w:tc>
          <w:tcPr>
            <w:tcW w:w="2042" w:type="dxa"/>
          </w:tcPr>
          <w:p w14:paraId="1B4AC915"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Had IEP in School</w:t>
            </w:r>
          </w:p>
        </w:tc>
        <w:tc>
          <w:tcPr>
            <w:tcW w:w="1913" w:type="dxa"/>
          </w:tcPr>
          <w:p w14:paraId="1F10D830"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-0.1</w:t>
            </w:r>
            <w:r w:rsidR="00B728DA">
              <w:rPr>
                <w:rFonts w:ascii="Times New Roman" w:hAnsi="Times New Roman" w:cs="Times New Roman"/>
              </w:rPr>
              <w:t>56</w:t>
            </w:r>
          </w:p>
          <w:p w14:paraId="64426DB2" w14:textId="77777777" w:rsidR="00902FF9" w:rsidRPr="00855E3C" w:rsidRDefault="00902FF9" w:rsidP="00B728DA">
            <w:pPr>
              <w:jc w:val="center"/>
              <w:rPr>
                <w:rFonts w:ascii="Times New Roman" w:hAnsi="Times New Roman" w:cs="Times New Roman"/>
              </w:rPr>
            </w:pPr>
            <w:r>
              <w:rPr>
                <w:rFonts w:ascii="Times New Roman" w:hAnsi="Times New Roman" w:cs="Times New Roman"/>
              </w:rPr>
              <w:t>(</w:t>
            </w:r>
            <w:r w:rsidR="00B728DA">
              <w:rPr>
                <w:rFonts w:ascii="Times New Roman" w:hAnsi="Times New Roman" w:cs="Times New Roman"/>
              </w:rPr>
              <w:t>5.59</w:t>
            </w:r>
            <w:r w:rsidRPr="00855E3C">
              <w:rPr>
                <w:rFonts w:ascii="Times New Roman" w:hAnsi="Times New Roman" w:cs="Times New Roman"/>
              </w:rPr>
              <w:t>)</w:t>
            </w:r>
          </w:p>
        </w:tc>
        <w:tc>
          <w:tcPr>
            <w:tcW w:w="1620" w:type="dxa"/>
          </w:tcPr>
          <w:p w14:paraId="637731B5" w14:textId="77777777" w:rsidR="00902FF9" w:rsidRDefault="00902FF9" w:rsidP="00A6640B">
            <w:pPr>
              <w:jc w:val="center"/>
              <w:rPr>
                <w:rFonts w:ascii="Times New Roman" w:hAnsi="Times New Roman" w:cs="Times New Roman"/>
              </w:rPr>
            </w:pPr>
            <w:r>
              <w:rPr>
                <w:rFonts w:ascii="Times New Roman" w:hAnsi="Times New Roman" w:cs="Times New Roman"/>
              </w:rPr>
              <w:t>-1.055</w:t>
            </w:r>
          </w:p>
          <w:p w14:paraId="6EBAEA1B"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(3.60)</w:t>
            </w:r>
          </w:p>
        </w:tc>
        <w:tc>
          <w:tcPr>
            <w:tcW w:w="1890" w:type="dxa"/>
          </w:tcPr>
          <w:p w14:paraId="13B40998" w14:textId="77777777" w:rsidR="00902FF9" w:rsidRDefault="00902FF9" w:rsidP="00A6640B">
            <w:pPr>
              <w:jc w:val="center"/>
              <w:rPr>
                <w:rFonts w:ascii="Times New Roman" w:hAnsi="Times New Roman" w:cs="Times New Roman"/>
              </w:rPr>
            </w:pPr>
            <w:r>
              <w:rPr>
                <w:rFonts w:ascii="Times New Roman" w:hAnsi="Times New Roman" w:cs="Times New Roman"/>
              </w:rPr>
              <w:t>-0.034</w:t>
            </w:r>
          </w:p>
          <w:p w14:paraId="7CE0C263"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(2.99)</w:t>
            </w:r>
          </w:p>
        </w:tc>
      </w:tr>
      <w:tr w:rsidR="00902FF9" w14:paraId="5EDBB9A0" w14:textId="77777777" w:rsidTr="00A6640B">
        <w:tc>
          <w:tcPr>
            <w:tcW w:w="2042" w:type="dxa"/>
          </w:tcPr>
          <w:p w14:paraId="51865DD8"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Has Reliable Transportation</w:t>
            </w:r>
          </w:p>
        </w:tc>
        <w:tc>
          <w:tcPr>
            <w:tcW w:w="1913" w:type="dxa"/>
          </w:tcPr>
          <w:p w14:paraId="2ACB111F"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0.14</w:t>
            </w:r>
            <w:r w:rsidR="00B728DA">
              <w:rPr>
                <w:rFonts w:ascii="Times New Roman" w:hAnsi="Times New Roman" w:cs="Times New Roman"/>
              </w:rPr>
              <w:t>7</w:t>
            </w:r>
            <w:r>
              <w:rPr>
                <w:rFonts w:ascii="Times New Roman" w:hAnsi="Times New Roman" w:cs="Times New Roman"/>
              </w:rPr>
              <w:t>0</w:t>
            </w:r>
          </w:p>
          <w:p w14:paraId="4B5C8A15" w14:textId="77777777" w:rsidR="00902FF9" w:rsidRPr="00855E3C" w:rsidRDefault="00902FF9" w:rsidP="00082793">
            <w:pPr>
              <w:jc w:val="center"/>
              <w:rPr>
                <w:rFonts w:ascii="Times New Roman" w:hAnsi="Times New Roman" w:cs="Times New Roman"/>
              </w:rPr>
            </w:pPr>
            <w:r w:rsidRPr="00855E3C">
              <w:rPr>
                <w:rFonts w:ascii="Times New Roman" w:hAnsi="Times New Roman" w:cs="Times New Roman"/>
              </w:rPr>
              <w:t>(</w:t>
            </w:r>
            <w:r>
              <w:rPr>
                <w:rFonts w:ascii="Times New Roman" w:hAnsi="Times New Roman" w:cs="Times New Roman"/>
              </w:rPr>
              <w:t>4.2</w:t>
            </w:r>
            <w:r w:rsidR="00B728DA">
              <w:rPr>
                <w:rFonts w:ascii="Times New Roman" w:hAnsi="Times New Roman" w:cs="Times New Roman"/>
              </w:rPr>
              <w:t>3</w:t>
            </w:r>
            <w:r>
              <w:rPr>
                <w:rFonts w:ascii="Times New Roman" w:hAnsi="Times New Roman" w:cs="Times New Roman"/>
              </w:rPr>
              <w:t>2</w:t>
            </w:r>
            <w:r w:rsidRPr="00855E3C">
              <w:rPr>
                <w:rFonts w:ascii="Times New Roman" w:hAnsi="Times New Roman" w:cs="Times New Roman"/>
              </w:rPr>
              <w:t>)</w:t>
            </w:r>
          </w:p>
        </w:tc>
        <w:tc>
          <w:tcPr>
            <w:tcW w:w="1620" w:type="dxa"/>
          </w:tcPr>
          <w:p w14:paraId="382A2DD5" w14:textId="77777777" w:rsidR="00902FF9" w:rsidRDefault="00902FF9" w:rsidP="00A6640B">
            <w:pPr>
              <w:jc w:val="center"/>
              <w:rPr>
                <w:rFonts w:ascii="Times New Roman" w:hAnsi="Times New Roman" w:cs="Times New Roman"/>
              </w:rPr>
            </w:pPr>
            <w:r>
              <w:rPr>
                <w:rFonts w:ascii="Times New Roman" w:hAnsi="Times New Roman" w:cs="Times New Roman"/>
              </w:rPr>
              <w:t>0.912</w:t>
            </w:r>
          </w:p>
          <w:p w14:paraId="452D14ED"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(2.48)</w:t>
            </w:r>
          </w:p>
        </w:tc>
        <w:tc>
          <w:tcPr>
            <w:tcW w:w="1890" w:type="dxa"/>
          </w:tcPr>
          <w:p w14:paraId="6D88AC0D" w14:textId="77777777" w:rsidR="00902FF9" w:rsidRDefault="00902FF9" w:rsidP="00A6640B">
            <w:pPr>
              <w:jc w:val="center"/>
              <w:rPr>
                <w:rFonts w:ascii="Times New Roman" w:hAnsi="Times New Roman" w:cs="Times New Roman"/>
              </w:rPr>
            </w:pPr>
            <w:r>
              <w:rPr>
                <w:rFonts w:ascii="Times New Roman" w:hAnsi="Times New Roman" w:cs="Times New Roman"/>
              </w:rPr>
              <w:t>0.028</w:t>
            </w:r>
          </w:p>
          <w:p w14:paraId="2F3D5467"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(1.93)</w:t>
            </w:r>
          </w:p>
        </w:tc>
      </w:tr>
      <w:tr w:rsidR="00902FF9" w14:paraId="76555BE6" w14:textId="77777777" w:rsidTr="00A6640B">
        <w:tc>
          <w:tcPr>
            <w:tcW w:w="2042" w:type="dxa"/>
          </w:tcPr>
          <w:p w14:paraId="2E6D1088" w14:textId="77777777" w:rsidR="00902FF9" w:rsidRPr="00855E3C" w:rsidRDefault="00902FF9" w:rsidP="00A6640B">
            <w:pPr>
              <w:rPr>
                <w:rFonts w:ascii="Times New Roman" w:hAnsi="Times New Roman" w:cs="Times New Roman"/>
              </w:rPr>
            </w:pPr>
            <w:r w:rsidRPr="0069730C">
              <w:rPr>
                <w:rFonts w:ascii="Times New Roman" w:hAnsi="Times New Roman" w:cs="Times New Roman"/>
              </w:rPr>
              <w:t>Juvenile Court Involvement</w:t>
            </w:r>
          </w:p>
        </w:tc>
        <w:tc>
          <w:tcPr>
            <w:tcW w:w="1913" w:type="dxa"/>
          </w:tcPr>
          <w:p w14:paraId="29201058"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w:t>
            </w:r>
            <w:r w:rsidR="00B728DA">
              <w:rPr>
                <w:rFonts w:ascii="Times New Roman" w:hAnsi="Times New Roman" w:cs="Times New Roman"/>
              </w:rPr>
              <w:t>199</w:t>
            </w:r>
          </w:p>
          <w:p w14:paraId="4E1FB8C4" w14:textId="77777777" w:rsidR="00902FF9" w:rsidRPr="00855E3C" w:rsidRDefault="00902FF9" w:rsidP="00B728DA">
            <w:pPr>
              <w:jc w:val="center"/>
              <w:rPr>
                <w:rFonts w:ascii="Times New Roman" w:hAnsi="Times New Roman" w:cs="Times New Roman"/>
              </w:rPr>
            </w:pPr>
            <w:r>
              <w:rPr>
                <w:rFonts w:ascii="Times New Roman" w:hAnsi="Times New Roman" w:cs="Times New Roman"/>
              </w:rPr>
              <w:t>(</w:t>
            </w:r>
            <w:r w:rsidR="00B728DA">
              <w:rPr>
                <w:rFonts w:ascii="Times New Roman" w:hAnsi="Times New Roman" w:cs="Times New Roman"/>
              </w:rPr>
              <w:t>6.26</w:t>
            </w:r>
            <w:r>
              <w:rPr>
                <w:rFonts w:ascii="Times New Roman" w:hAnsi="Times New Roman" w:cs="Times New Roman"/>
              </w:rPr>
              <w:t>)</w:t>
            </w:r>
          </w:p>
        </w:tc>
        <w:tc>
          <w:tcPr>
            <w:tcW w:w="1620" w:type="dxa"/>
          </w:tcPr>
          <w:p w14:paraId="320004E8" w14:textId="77777777" w:rsidR="00902FF9" w:rsidRDefault="00902FF9" w:rsidP="00A6640B">
            <w:pPr>
              <w:jc w:val="center"/>
              <w:rPr>
                <w:rFonts w:ascii="Times New Roman" w:hAnsi="Times New Roman" w:cs="Times New Roman"/>
              </w:rPr>
            </w:pPr>
            <w:r>
              <w:rPr>
                <w:rFonts w:ascii="Times New Roman" w:hAnsi="Times New Roman" w:cs="Times New Roman"/>
              </w:rPr>
              <w:t>-2.827</w:t>
            </w:r>
          </w:p>
          <w:p w14:paraId="45C8F99E"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(8.42)</w:t>
            </w:r>
          </w:p>
        </w:tc>
        <w:tc>
          <w:tcPr>
            <w:tcW w:w="1890" w:type="dxa"/>
          </w:tcPr>
          <w:p w14:paraId="4A1D0B39" w14:textId="77777777" w:rsidR="00902FF9" w:rsidRDefault="00902FF9" w:rsidP="00A6640B">
            <w:pPr>
              <w:jc w:val="center"/>
              <w:rPr>
                <w:rFonts w:ascii="Times New Roman" w:hAnsi="Times New Roman" w:cs="Times New Roman"/>
              </w:rPr>
            </w:pPr>
            <w:r>
              <w:rPr>
                <w:rFonts w:ascii="Times New Roman" w:hAnsi="Times New Roman" w:cs="Times New Roman"/>
              </w:rPr>
              <w:t>-0.005</w:t>
            </w:r>
          </w:p>
          <w:p w14:paraId="574467F7"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(0.40)</w:t>
            </w:r>
          </w:p>
        </w:tc>
      </w:tr>
      <w:tr w:rsidR="00902FF9" w14:paraId="454A3016" w14:textId="77777777" w:rsidTr="00A6640B">
        <w:tc>
          <w:tcPr>
            <w:tcW w:w="2042" w:type="dxa"/>
          </w:tcPr>
          <w:p w14:paraId="43B37958"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Has Minor Children</w:t>
            </w:r>
          </w:p>
        </w:tc>
        <w:tc>
          <w:tcPr>
            <w:tcW w:w="1913" w:type="dxa"/>
          </w:tcPr>
          <w:p w14:paraId="5743094C"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w:t>
            </w:r>
            <w:r w:rsidR="00B728DA">
              <w:rPr>
                <w:rFonts w:ascii="Times New Roman" w:hAnsi="Times New Roman" w:cs="Times New Roman"/>
              </w:rPr>
              <w:t>08</w:t>
            </w:r>
            <w:r>
              <w:rPr>
                <w:rFonts w:ascii="Times New Roman" w:hAnsi="Times New Roman" w:cs="Times New Roman"/>
              </w:rPr>
              <w:t>1</w:t>
            </w:r>
          </w:p>
          <w:p w14:paraId="41C88AC4" w14:textId="77777777" w:rsidR="00902FF9" w:rsidRPr="00855E3C" w:rsidRDefault="00902FF9" w:rsidP="00B728DA">
            <w:pPr>
              <w:jc w:val="center"/>
              <w:rPr>
                <w:rFonts w:ascii="Times New Roman" w:hAnsi="Times New Roman" w:cs="Times New Roman"/>
              </w:rPr>
            </w:pPr>
            <w:r>
              <w:rPr>
                <w:rFonts w:ascii="Times New Roman" w:hAnsi="Times New Roman" w:cs="Times New Roman"/>
              </w:rPr>
              <w:t>(</w:t>
            </w:r>
            <w:r w:rsidR="00B728DA">
              <w:rPr>
                <w:rFonts w:ascii="Times New Roman" w:hAnsi="Times New Roman" w:cs="Times New Roman"/>
              </w:rPr>
              <w:t>1.29</w:t>
            </w:r>
            <w:r w:rsidRPr="00855E3C">
              <w:rPr>
                <w:rFonts w:ascii="Times New Roman" w:hAnsi="Times New Roman" w:cs="Times New Roman"/>
              </w:rPr>
              <w:t>)</w:t>
            </w:r>
          </w:p>
        </w:tc>
        <w:tc>
          <w:tcPr>
            <w:tcW w:w="1620" w:type="dxa"/>
          </w:tcPr>
          <w:p w14:paraId="45805918" w14:textId="77777777" w:rsidR="00902FF9" w:rsidRDefault="00902FF9" w:rsidP="00A6640B">
            <w:pPr>
              <w:jc w:val="center"/>
              <w:rPr>
                <w:rFonts w:ascii="Times New Roman" w:hAnsi="Times New Roman" w:cs="Times New Roman"/>
              </w:rPr>
            </w:pPr>
            <w:r>
              <w:rPr>
                <w:rFonts w:ascii="Times New Roman" w:hAnsi="Times New Roman" w:cs="Times New Roman"/>
              </w:rPr>
              <w:t>-1.202</w:t>
            </w:r>
          </w:p>
          <w:p w14:paraId="67E6CA07"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(1.68)</w:t>
            </w:r>
          </w:p>
        </w:tc>
        <w:tc>
          <w:tcPr>
            <w:tcW w:w="1890" w:type="dxa"/>
          </w:tcPr>
          <w:p w14:paraId="1BE1665B" w14:textId="77777777" w:rsidR="00902FF9" w:rsidRDefault="00902FF9" w:rsidP="00A6640B">
            <w:pPr>
              <w:jc w:val="center"/>
              <w:rPr>
                <w:rFonts w:ascii="Times New Roman" w:hAnsi="Times New Roman" w:cs="Times New Roman"/>
              </w:rPr>
            </w:pPr>
            <w:r>
              <w:rPr>
                <w:rFonts w:ascii="Times New Roman" w:hAnsi="Times New Roman" w:cs="Times New Roman"/>
              </w:rPr>
              <w:t>0.062</w:t>
            </w:r>
          </w:p>
          <w:p w14:paraId="3120758B"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(2.34)</w:t>
            </w:r>
          </w:p>
        </w:tc>
      </w:tr>
      <w:tr w:rsidR="00902FF9" w14:paraId="6C2A137C" w14:textId="77777777" w:rsidTr="00A6640B">
        <w:tc>
          <w:tcPr>
            <w:tcW w:w="2042" w:type="dxa"/>
          </w:tcPr>
          <w:p w14:paraId="4A23869F"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Female x Has Minor Children</w:t>
            </w:r>
          </w:p>
        </w:tc>
        <w:tc>
          <w:tcPr>
            <w:tcW w:w="1913" w:type="dxa"/>
          </w:tcPr>
          <w:p w14:paraId="4FF0584E"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-0.1</w:t>
            </w:r>
            <w:r w:rsidR="00B728DA">
              <w:rPr>
                <w:rFonts w:ascii="Times New Roman" w:hAnsi="Times New Roman" w:cs="Times New Roman"/>
              </w:rPr>
              <w:t>52</w:t>
            </w:r>
          </w:p>
          <w:p w14:paraId="52787A4F" w14:textId="77777777" w:rsidR="00902FF9" w:rsidRPr="00855E3C" w:rsidRDefault="00902FF9" w:rsidP="00B728DA">
            <w:pPr>
              <w:jc w:val="center"/>
              <w:rPr>
                <w:rFonts w:ascii="Times New Roman" w:hAnsi="Times New Roman" w:cs="Times New Roman"/>
              </w:rPr>
            </w:pPr>
            <w:r w:rsidRPr="00855E3C">
              <w:rPr>
                <w:rFonts w:ascii="Times New Roman" w:hAnsi="Times New Roman" w:cs="Times New Roman"/>
              </w:rPr>
              <w:t>(</w:t>
            </w:r>
            <w:r w:rsidR="00B728DA">
              <w:rPr>
                <w:rFonts w:ascii="Times New Roman" w:hAnsi="Times New Roman" w:cs="Times New Roman"/>
              </w:rPr>
              <w:t>2.2</w:t>
            </w:r>
            <w:r>
              <w:rPr>
                <w:rFonts w:ascii="Times New Roman" w:hAnsi="Times New Roman" w:cs="Times New Roman"/>
              </w:rPr>
              <w:t>8</w:t>
            </w:r>
            <w:r w:rsidRPr="00855E3C">
              <w:rPr>
                <w:rFonts w:ascii="Times New Roman" w:hAnsi="Times New Roman" w:cs="Times New Roman"/>
              </w:rPr>
              <w:t>)</w:t>
            </w:r>
          </w:p>
        </w:tc>
        <w:tc>
          <w:tcPr>
            <w:tcW w:w="1620" w:type="dxa"/>
          </w:tcPr>
          <w:p w14:paraId="72F8F799" w14:textId="77777777" w:rsidR="00902FF9" w:rsidRDefault="00902FF9" w:rsidP="00A6640B">
            <w:pPr>
              <w:jc w:val="center"/>
              <w:rPr>
                <w:rFonts w:ascii="Times New Roman" w:hAnsi="Times New Roman" w:cs="Times New Roman"/>
              </w:rPr>
            </w:pPr>
            <w:r>
              <w:rPr>
                <w:rFonts w:ascii="Times New Roman" w:hAnsi="Times New Roman" w:cs="Times New Roman"/>
              </w:rPr>
              <w:t>-1.202</w:t>
            </w:r>
          </w:p>
          <w:p w14:paraId="543F8CAF"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(1.68)</w:t>
            </w:r>
          </w:p>
        </w:tc>
        <w:tc>
          <w:tcPr>
            <w:tcW w:w="1890" w:type="dxa"/>
          </w:tcPr>
          <w:p w14:paraId="25050931" w14:textId="77777777" w:rsidR="00902FF9" w:rsidRDefault="00902FF9" w:rsidP="00A6640B">
            <w:pPr>
              <w:jc w:val="center"/>
              <w:rPr>
                <w:rFonts w:ascii="Times New Roman" w:hAnsi="Times New Roman" w:cs="Times New Roman"/>
              </w:rPr>
            </w:pPr>
            <w:r>
              <w:rPr>
                <w:rFonts w:ascii="Times New Roman" w:hAnsi="Times New Roman" w:cs="Times New Roman"/>
              </w:rPr>
              <w:t>-0.118</w:t>
            </w:r>
          </w:p>
          <w:p w14:paraId="4D3E5AB1"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(4.20)</w:t>
            </w:r>
          </w:p>
        </w:tc>
      </w:tr>
      <w:tr w:rsidR="00902FF9" w14:paraId="54DD954C" w14:textId="77777777" w:rsidTr="00A6640B">
        <w:tc>
          <w:tcPr>
            <w:tcW w:w="2042" w:type="dxa"/>
          </w:tcPr>
          <w:p w14:paraId="253A7E6D"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Hispanic</w:t>
            </w:r>
          </w:p>
        </w:tc>
        <w:tc>
          <w:tcPr>
            <w:tcW w:w="1913" w:type="dxa"/>
          </w:tcPr>
          <w:p w14:paraId="5010D12C"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0.15</w:t>
            </w:r>
            <w:r w:rsidR="00B728DA">
              <w:rPr>
                <w:rFonts w:ascii="Times New Roman" w:hAnsi="Times New Roman" w:cs="Times New Roman"/>
              </w:rPr>
              <w:t>9</w:t>
            </w:r>
          </w:p>
          <w:p w14:paraId="303559F4" w14:textId="77777777" w:rsidR="00902FF9" w:rsidRPr="00855E3C" w:rsidRDefault="00902FF9" w:rsidP="00B728DA">
            <w:pPr>
              <w:jc w:val="center"/>
              <w:rPr>
                <w:rFonts w:ascii="Times New Roman" w:hAnsi="Times New Roman" w:cs="Times New Roman"/>
              </w:rPr>
            </w:pPr>
            <w:r>
              <w:rPr>
                <w:rFonts w:ascii="Times New Roman" w:hAnsi="Times New Roman" w:cs="Times New Roman"/>
              </w:rPr>
              <w:t>(2.</w:t>
            </w:r>
            <w:r w:rsidR="00B728DA">
              <w:rPr>
                <w:rFonts w:ascii="Times New Roman" w:hAnsi="Times New Roman" w:cs="Times New Roman"/>
              </w:rPr>
              <w:t>49</w:t>
            </w:r>
            <w:r w:rsidRPr="00855E3C">
              <w:rPr>
                <w:rFonts w:ascii="Times New Roman" w:hAnsi="Times New Roman" w:cs="Times New Roman"/>
              </w:rPr>
              <w:t>)</w:t>
            </w:r>
          </w:p>
        </w:tc>
        <w:tc>
          <w:tcPr>
            <w:tcW w:w="1620" w:type="dxa"/>
          </w:tcPr>
          <w:p w14:paraId="09C8BEBC" w14:textId="77777777" w:rsidR="00902FF9" w:rsidRDefault="00902FF9" w:rsidP="00A6640B">
            <w:pPr>
              <w:jc w:val="center"/>
              <w:rPr>
                <w:rFonts w:ascii="Times New Roman" w:hAnsi="Times New Roman" w:cs="Times New Roman"/>
              </w:rPr>
            </w:pPr>
            <w:r>
              <w:rPr>
                <w:rFonts w:ascii="Times New Roman" w:hAnsi="Times New Roman" w:cs="Times New Roman"/>
              </w:rPr>
              <w:t>1.911</w:t>
            </w:r>
          </w:p>
          <w:p w14:paraId="7549E4A5"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(2.75)</w:t>
            </w:r>
          </w:p>
        </w:tc>
        <w:tc>
          <w:tcPr>
            <w:tcW w:w="1890" w:type="dxa"/>
          </w:tcPr>
          <w:p w14:paraId="2ED5908B" w14:textId="77777777" w:rsidR="00902FF9" w:rsidRDefault="00902FF9" w:rsidP="00A6640B">
            <w:pPr>
              <w:jc w:val="center"/>
              <w:rPr>
                <w:rFonts w:ascii="Times New Roman" w:hAnsi="Times New Roman" w:cs="Times New Roman"/>
              </w:rPr>
            </w:pPr>
            <w:r>
              <w:rPr>
                <w:rFonts w:ascii="Times New Roman" w:hAnsi="Times New Roman" w:cs="Times New Roman"/>
              </w:rPr>
              <w:t>0.047</w:t>
            </w:r>
          </w:p>
          <w:p w14:paraId="5216EF0D"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(1.74)</w:t>
            </w:r>
          </w:p>
        </w:tc>
      </w:tr>
      <w:tr w:rsidR="00902FF9" w14:paraId="320A5AED" w14:textId="77777777" w:rsidTr="00A6640B">
        <w:tc>
          <w:tcPr>
            <w:tcW w:w="2042" w:type="dxa"/>
          </w:tcPr>
          <w:p w14:paraId="53B55AB3" w14:textId="77777777" w:rsidR="00902FF9" w:rsidRPr="00855E3C" w:rsidRDefault="00902FF9" w:rsidP="00A6640B">
            <w:pPr>
              <w:rPr>
                <w:rFonts w:ascii="Times New Roman" w:hAnsi="Times New Roman" w:cs="Times New Roman"/>
              </w:rPr>
            </w:pPr>
            <w:r w:rsidRPr="00855E3C">
              <w:rPr>
                <w:rFonts w:ascii="Times New Roman" w:hAnsi="Times New Roman" w:cs="Times New Roman"/>
              </w:rPr>
              <w:t>Black</w:t>
            </w:r>
          </w:p>
        </w:tc>
        <w:tc>
          <w:tcPr>
            <w:tcW w:w="1913" w:type="dxa"/>
          </w:tcPr>
          <w:p w14:paraId="6F6579EA" w14:textId="77777777" w:rsidR="00902FF9" w:rsidRPr="00855E3C" w:rsidRDefault="00902FF9" w:rsidP="00A6640B">
            <w:pPr>
              <w:jc w:val="center"/>
              <w:rPr>
                <w:rFonts w:ascii="Times New Roman" w:hAnsi="Times New Roman" w:cs="Times New Roman"/>
              </w:rPr>
            </w:pPr>
            <w:r>
              <w:rPr>
                <w:rFonts w:ascii="Times New Roman" w:hAnsi="Times New Roman" w:cs="Times New Roman"/>
              </w:rPr>
              <w:t>-0.0</w:t>
            </w:r>
            <w:r w:rsidR="00B728DA">
              <w:rPr>
                <w:rFonts w:ascii="Times New Roman" w:hAnsi="Times New Roman" w:cs="Times New Roman"/>
              </w:rPr>
              <w:t>67</w:t>
            </w:r>
          </w:p>
          <w:p w14:paraId="2302EDA3" w14:textId="77777777" w:rsidR="00902FF9" w:rsidRPr="00855E3C" w:rsidRDefault="00902FF9" w:rsidP="00B728DA">
            <w:pPr>
              <w:jc w:val="center"/>
              <w:rPr>
                <w:rFonts w:ascii="Times New Roman" w:hAnsi="Times New Roman" w:cs="Times New Roman"/>
              </w:rPr>
            </w:pPr>
            <w:r>
              <w:rPr>
                <w:rFonts w:ascii="Times New Roman" w:hAnsi="Times New Roman" w:cs="Times New Roman"/>
              </w:rPr>
              <w:t>(</w:t>
            </w:r>
            <w:r w:rsidR="00B728DA">
              <w:rPr>
                <w:rFonts w:ascii="Times New Roman" w:hAnsi="Times New Roman" w:cs="Times New Roman"/>
              </w:rPr>
              <w:t>2.58</w:t>
            </w:r>
            <w:r w:rsidRPr="00855E3C">
              <w:rPr>
                <w:rFonts w:ascii="Times New Roman" w:hAnsi="Times New Roman" w:cs="Times New Roman"/>
              </w:rPr>
              <w:t>)</w:t>
            </w:r>
          </w:p>
        </w:tc>
        <w:tc>
          <w:tcPr>
            <w:tcW w:w="1620" w:type="dxa"/>
          </w:tcPr>
          <w:p w14:paraId="426341C8" w14:textId="77777777" w:rsidR="00902FF9" w:rsidRDefault="00902FF9" w:rsidP="00A6640B">
            <w:pPr>
              <w:jc w:val="center"/>
              <w:rPr>
                <w:rFonts w:ascii="Times New Roman" w:hAnsi="Times New Roman" w:cs="Times New Roman"/>
              </w:rPr>
            </w:pPr>
            <w:r>
              <w:rPr>
                <w:rFonts w:ascii="Times New Roman" w:hAnsi="Times New Roman" w:cs="Times New Roman"/>
              </w:rPr>
              <w:t>-0.174</w:t>
            </w:r>
          </w:p>
          <w:p w14:paraId="74DF7F01" w14:textId="77777777" w:rsidR="00902FF9" w:rsidRPr="00855E3C" w:rsidRDefault="00902FF9" w:rsidP="006F5B7C">
            <w:pPr>
              <w:jc w:val="center"/>
              <w:rPr>
                <w:rFonts w:ascii="Times New Roman" w:hAnsi="Times New Roman" w:cs="Times New Roman"/>
              </w:rPr>
            </w:pPr>
            <w:r>
              <w:rPr>
                <w:rFonts w:ascii="Times New Roman" w:hAnsi="Times New Roman" w:cs="Times New Roman"/>
              </w:rPr>
              <w:t>(0.62)</w:t>
            </w:r>
          </w:p>
        </w:tc>
        <w:tc>
          <w:tcPr>
            <w:tcW w:w="1890" w:type="dxa"/>
          </w:tcPr>
          <w:p w14:paraId="3D18320A" w14:textId="77777777" w:rsidR="00902FF9" w:rsidRDefault="00902FF9" w:rsidP="00A6640B">
            <w:pPr>
              <w:jc w:val="center"/>
              <w:rPr>
                <w:rFonts w:ascii="Times New Roman" w:hAnsi="Times New Roman" w:cs="Times New Roman"/>
              </w:rPr>
            </w:pPr>
            <w:r>
              <w:rPr>
                <w:rFonts w:ascii="Times New Roman" w:hAnsi="Times New Roman" w:cs="Times New Roman"/>
              </w:rPr>
              <w:t>0.116</w:t>
            </w:r>
          </w:p>
          <w:p w14:paraId="64447A07" w14:textId="77777777" w:rsidR="00902FF9" w:rsidRPr="00855E3C" w:rsidRDefault="00902FF9" w:rsidP="00902FF9">
            <w:pPr>
              <w:jc w:val="center"/>
              <w:rPr>
                <w:rFonts w:ascii="Times New Roman" w:hAnsi="Times New Roman" w:cs="Times New Roman"/>
              </w:rPr>
            </w:pPr>
            <w:r>
              <w:rPr>
                <w:rFonts w:ascii="Times New Roman" w:hAnsi="Times New Roman" w:cs="Times New Roman"/>
              </w:rPr>
              <w:t>(10.58)</w:t>
            </w:r>
          </w:p>
        </w:tc>
      </w:tr>
    </w:tbl>
    <w:p w14:paraId="524EFDA7" w14:textId="77777777" w:rsidR="0037311B" w:rsidRDefault="002D5F20" w:rsidP="0037311B">
      <w:pPr>
        <w:spacing w:after="0"/>
        <w:rPr>
          <w:rFonts w:ascii="Times New Roman" w:hAnsi="Times New Roman" w:cs="Times New Roman"/>
        </w:rPr>
      </w:pPr>
      <w:r>
        <w:rPr>
          <w:rFonts w:ascii="Times New Roman" w:hAnsi="Times New Roman" w:cs="Times New Roman"/>
        </w:rPr>
        <w:t>N = 14,829 except log earnings regression that has 12,225 observations with positive earnings</w:t>
      </w:r>
    </w:p>
    <w:p w14:paraId="3B65DB6A" w14:textId="77777777" w:rsidR="002D5F20" w:rsidRDefault="002D5F20" w:rsidP="0037311B">
      <w:pPr>
        <w:spacing w:after="0"/>
        <w:rPr>
          <w:rFonts w:ascii="Times New Roman" w:hAnsi="Times New Roman" w:cs="Times New Roman"/>
        </w:rPr>
      </w:pPr>
    </w:p>
    <w:p w14:paraId="4D9F52FD" w14:textId="77777777" w:rsidR="0043618A" w:rsidRDefault="009972F3" w:rsidP="00AC6265">
      <w:pPr>
        <w:spacing w:after="0"/>
        <w:jc w:val="both"/>
        <w:rPr>
          <w:rFonts w:ascii="Times New Roman" w:hAnsi="Times New Roman" w:cs="Times New Roman"/>
        </w:rPr>
      </w:pPr>
      <w:r>
        <w:rPr>
          <w:rFonts w:ascii="Times New Roman" w:hAnsi="Times New Roman" w:cs="Times New Roman"/>
        </w:rPr>
        <w:lastRenderedPageBreak/>
        <w:t xml:space="preserve">The central variable is eligibility for Wage Pathways, and we find it has a positive, significant impact on earnings.  </w:t>
      </w:r>
      <w:r w:rsidR="0043618A">
        <w:rPr>
          <w:rFonts w:ascii="Times New Roman" w:hAnsi="Times New Roman" w:cs="Times New Roman"/>
        </w:rPr>
        <w:t xml:space="preserve">Our point estimate of </w:t>
      </w:r>
      <w:r w:rsidR="005F17AC">
        <w:rPr>
          <w:rFonts w:ascii="Times New Roman" w:hAnsi="Times New Roman" w:cs="Times New Roman"/>
        </w:rPr>
        <w:t xml:space="preserve">the effect of </w:t>
      </w:r>
      <w:r w:rsidR="0043618A">
        <w:rPr>
          <w:rFonts w:ascii="Times New Roman" w:hAnsi="Times New Roman" w:cs="Times New Roman"/>
        </w:rPr>
        <w:t>eligibility on earnings is $</w:t>
      </w:r>
      <w:r w:rsidR="005F17AC">
        <w:rPr>
          <w:rFonts w:ascii="Times New Roman" w:hAnsi="Times New Roman" w:cs="Times New Roman"/>
        </w:rPr>
        <w:t>5</w:t>
      </w:r>
      <w:r w:rsidR="0043618A">
        <w:rPr>
          <w:rFonts w:ascii="Times New Roman" w:hAnsi="Times New Roman" w:cs="Times New Roman"/>
        </w:rPr>
        <w:t xml:space="preserve">00/year.  Our sample has 14,829 persons of whom 19% were eligible, or 2,818 eligible persons.  For all of 2018, these eligible people, in aggregate, earned </w:t>
      </w:r>
      <w:r w:rsidR="005F17AC">
        <w:rPr>
          <w:rFonts w:ascii="Times New Roman" w:hAnsi="Times New Roman" w:cs="Times New Roman"/>
        </w:rPr>
        <w:t>roughly</w:t>
      </w:r>
      <w:r w:rsidR="0043618A">
        <w:rPr>
          <w:rFonts w:ascii="Times New Roman" w:hAnsi="Times New Roman" w:cs="Times New Roman"/>
        </w:rPr>
        <w:t xml:space="preserve"> $1.</w:t>
      </w:r>
      <w:r w:rsidR="005F17AC">
        <w:rPr>
          <w:rFonts w:ascii="Times New Roman" w:hAnsi="Times New Roman" w:cs="Times New Roman"/>
        </w:rPr>
        <w:t>4</w:t>
      </w:r>
      <w:r w:rsidR="0043618A">
        <w:rPr>
          <w:rFonts w:ascii="Times New Roman" w:hAnsi="Times New Roman" w:cs="Times New Roman"/>
        </w:rPr>
        <w:t xml:space="preserve"> million </w:t>
      </w:r>
      <w:r w:rsidR="005F17AC">
        <w:rPr>
          <w:rFonts w:ascii="Times New Roman" w:hAnsi="Times New Roman" w:cs="Times New Roman"/>
        </w:rPr>
        <w:t xml:space="preserve">more </w:t>
      </w:r>
      <w:r w:rsidR="0043618A">
        <w:rPr>
          <w:rFonts w:ascii="Times New Roman" w:hAnsi="Times New Roman" w:cs="Times New Roman"/>
        </w:rPr>
        <w:t xml:space="preserve">due to being </w:t>
      </w:r>
      <w:r w:rsidR="00F420D0">
        <w:rPr>
          <w:rFonts w:ascii="Times New Roman" w:hAnsi="Times New Roman" w:cs="Times New Roman"/>
        </w:rPr>
        <w:t xml:space="preserve">eligible for WP.  </w:t>
      </w:r>
      <w:r w:rsidR="001120CB">
        <w:rPr>
          <w:rFonts w:ascii="Times New Roman" w:hAnsi="Times New Roman" w:cs="Times New Roman"/>
        </w:rPr>
        <w:t xml:space="preserve">We suspect the earnings gain after the first year would decline, but we must await more data to assess total income gains </w:t>
      </w:r>
      <w:r w:rsidR="00D32413">
        <w:rPr>
          <w:rFonts w:ascii="Times New Roman" w:hAnsi="Times New Roman" w:cs="Times New Roman"/>
        </w:rPr>
        <w:t>over several years.  Those data will be readily available in the UI earnings file, making it relatively straightforward to measure longer-term outcomes.</w:t>
      </w:r>
    </w:p>
    <w:p w14:paraId="743F99CF" w14:textId="77777777" w:rsidR="0043618A" w:rsidRDefault="0043618A" w:rsidP="00AC6265">
      <w:pPr>
        <w:spacing w:after="0"/>
        <w:jc w:val="both"/>
        <w:rPr>
          <w:rFonts w:ascii="Times New Roman" w:hAnsi="Times New Roman" w:cs="Times New Roman"/>
        </w:rPr>
      </w:pPr>
    </w:p>
    <w:p w14:paraId="46FC9B9A" w14:textId="5BCA2307" w:rsidR="009972F3" w:rsidRDefault="009972F3" w:rsidP="00AC6265">
      <w:pPr>
        <w:spacing w:after="0"/>
        <w:jc w:val="both"/>
        <w:rPr>
          <w:rFonts w:ascii="Times New Roman" w:hAnsi="Times New Roman" w:cs="Times New Roman"/>
        </w:rPr>
      </w:pPr>
      <w:r>
        <w:rPr>
          <w:rFonts w:ascii="Times New Roman" w:hAnsi="Times New Roman" w:cs="Times New Roman"/>
        </w:rPr>
        <w:t xml:space="preserve">As noted above, our primary concern centered on eligibility being defined by county rather than via random assignment within county, creating the possibility we misattribute different labor market conditions in the various Ohio labor markets to WP program effects.  The three constructed labor market metric variables we constructed using a synthetic “peer” group of the same age and a lack of post-secondary education, while </w:t>
      </w:r>
      <w:r w:rsidR="00E21C3E">
        <w:rPr>
          <w:rFonts w:ascii="Times New Roman" w:hAnsi="Times New Roman" w:cs="Times New Roman"/>
        </w:rPr>
        <w:t xml:space="preserve">sometimes </w:t>
      </w:r>
      <w:r>
        <w:rPr>
          <w:rFonts w:ascii="Times New Roman" w:hAnsi="Times New Roman" w:cs="Times New Roman"/>
        </w:rPr>
        <w:t xml:space="preserve">significant, do not contribute to the finding on a WP effect.  </w:t>
      </w:r>
      <w:r w:rsidR="00980046">
        <w:rPr>
          <w:rFonts w:ascii="Times New Roman" w:hAnsi="Times New Roman" w:cs="Times New Roman"/>
        </w:rPr>
        <w:t>This implies the clustering of the experimental counties in the northeast of Ohio has not biased our estimators of program impacts.</w:t>
      </w:r>
    </w:p>
    <w:p w14:paraId="63EA3118" w14:textId="77777777" w:rsidR="009972F3" w:rsidRDefault="009972F3" w:rsidP="00AC6265">
      <w:pPr>
        <w:spacing w:after="0"/>
        <w:jc w:val="both"/>
        <w:rPr>
          <w:rFonts w:ascii="Times New Roman" w:hAnsi="Times New Roman" w:cs="Times New Roman"/>
        </w:rPr>
      </w:pPr>
    </w:p>
    <w:p w14:paraId="2A6A50DE" w14:textId="2536968D" w:rsidR="009053B8" w:rsidRDefault="009972F3" w:rsidP="00AC6265">
      <w:pPr>
        <w:spacing w:after="0"/>
        <w:jc w:val="both"/>
        <w:rPr>
          <w:rFonts w:ascii="Times New Roman" w:hAnsi="Times New Roman" w:cs="Times New Roman"/>
        </w:rPr>
      </w:pPr>
      <w:r>
        <w:rPr>
          <w:rFonts w:ascii="Times New Roman" w:hAnsi="Times New Roman" w:cs="Times New Roman"/>
        </w:rPr>
        <w:t xml:space="preserve">The WP program </w:t>
      </w:r>
      <w:r w:rsidR="00264143">
        <w:rPr>
          <w:rFonts w:ascii="Times New Roman" w:hAnsi="Times New Roman" w:cs="Times New Roman"/>
        </w:rPr>
        <w:t>encourages youths to hold a job,</w:t>
      </w:r>
      <w:r>
        <w:rPr>
          <w:rFonts w:ascii="Times New Roman" w:hAnsi="Times New Roman" w:cs="Times New Roman"/>
        </w:rPr>
        <w:t xml:space="preserve"> stressing work experience over additional formal education, </w:t>
      </w:r>
      <w:r w:rsidR="007F1301">
        <w:rPr>
          <w:rFonts w:ascii="Times New Roman" w:hAnsi="Times New Roman" w:cs="Times New Roman"/>
        </w:rPr>
        <w:t xml:space="preserve">the latter of </w:t>
      </w:r>
      <w:r>
        <w:rPr>
          <w:rFonts w:ascii="Times New Roman" w:hAnsi="Times New Roman" w:cs="Times New Roman"/>
        </w:rPr>
        <w:t xml:space="preserve">which many CCMEP youth are likely ill-disposed to obtain.  What do the education versus experience coefficients tell us about </w:t>
      </w:r>
      <w:r w:rsidR="00264143">
        <w:rPr>
          <w:rFonts w:ascii="Times New Roman" w:hAnsi="Times New Roman" w:cs="Times New Roman"/>
        </w:rPr>
        <w:t>this strategy</w:t>
      </w:r>
      <w:r w:rsidR="007F1301">
        <w:rPr>
          <w:rFonts w:ascii="Times New Roman" w:hAnsi="Times New Roman" w:cs="Times New Roman"/>
        </w:rPr>
        <w:t>?</w:t>
      </w:r>
      <w:r w:rsidR="00FD56E8">
        <w:rPr>
          <w:rFonts w:ascii="Times New Roman" w:hAnsi="Times New Roman" w:cs="Times New Roman"/>
        </w:rPr>
        <w:t xml:space="preserve">  Education, of course, has a positive impact.  In the log earnings equation</w:t>
      </w:r>
      <w:r w:rsidR="00E21C3E">
        <w:rPr>
          <w:rFonts w:ascii="Times New Roman" w:hAnsi="Times New Roman" w:cs="Times New Roman"/>
        </w:rPr>
        <w:t xml:space="preserve"> using post-onset earnings</w:t>
      </w:r>
      <w:r w:rsidR="00FD56E8">
        <w:rPr>
          <w:rFonts w:ascii="Times New Roman" w:hAnsi="Times New Roman" w:cs="Times New Roman"/>
        </w:rPr>
        <w:t xml:space="preserve">, one more year of education raises earnings by </w:t>
      </w:r>
      <w:r w:rsidR="00E21C3E">
        <w:rPr>
          <w:rFonts w:ascii="Times New Roman" w:hAnsi="Times New Roman" w:cs="Times New Roman"/>
        </w:rPr>
        <w:t>3.7</w:t>
      </w:r>
      <w:r w:rsidR="00FD56E8">
        <w:rPr>
          <w:rFonts w:ascii="Times New Roman" w:hAnsi="Times New Roman" w:cs="Times New Roman"/>
        </w:rPr>
        <w:t xml:space="preserve">%.  </w:t>
      </w:r>
      <w:r w:rsidR="007F1301">
        <w:rPr>
          <w:rFonts w:ascii="Times New Roman" w:hAnsi="Times New Roman" w:cs="Times New Roman"/>
        </w:rPr>
        <w:t xml:space="preserve">In the post-onset log earnings equation, the return to an additional year of </w:t>
      </w:r>
      <w:r w:rsidR="002D5F20">
        <w:rPr>
          <w:rFonts w:ascii="Times New Roman" w:hAnsi="Times New Roman" w:cs="Times New Roman"/>
        </w:rPr>
        <w:t>experience</w:t>
      </w:r>
      <w:r w:rsidR="007F1301">
        <w:rPr>
          <w:rFonts w:ascii="Times New Roman" w:hAnsi="Times New Roman" w:cs="Times New Roman"/>
        </w:rPr>
        <w:t xml:space="preserve"> </w:t>
      </w:r>
      <w:r w:rsidR="00264143">
        <w:rPr>
          <w:rFonts w:ascii="Times New Roman" w:hAnsi="Times New Roman" w:cs="Times New Roman"/>
        </w:rPr>
        <w:t xml:space="preserve">(using detail on weeks the youth has worked, </w:t>
      </w:r>
      <w:r w:rsidR="007F1301">
        <w:rPr>
          <w:rFonts w:ascii="Times New Roman" w:hAnsi="Times New Roman" w:cs="Times New Roman"/>
        </w:rPr>
        <w:t xml:space="preserve">was </w:t>
      </w:r>
      <w:r w:rsidR="00E21C3E">
        <w:rPr>
          <w:rFonts w:ascii="Times New Roman" w:hAnsi="Times New Roman" w:cs="Times New Roman"/>
        </w:rPr>
        <w:t xml:space="preserve">about </w:t>
      </w:r>
      <w:r w:rsidR="007F1301">
        <w:rPr>
          <w:rFonts w:ascii="Times New Roman" w:hAnsi="Times New Roman" w:cs="Times New Roman"/>
        </w:rPr>
        <w:t>3</w:t>
      </w:r>
      <w:r w:rsidR="00E21C3E">
        <w:rPr>
          <w:rFonts w:ascii="Times New Roman" w:hAnsi="Times New Roman" w:cs="Times New Roman"/>
        </w:rPr>
        <w:t>3</w:t>
      </w:r>
      <w:r w:rsidR="007F1301">
        <w:rPr>
          <w:rFonts w:ascii="Times New Roman" w:hAnsi="Times New Roman" w:cs="Times New Roman"/>
        </w:rPr>
        <w:t xml:space="preserve">%.  </w:t>
      </w:r>
      <w:r w:rsidR="00834932">
        <w:rPr>
          <w:rFonts w:ascii="Times New Roman" w:hAnsi="Times New Roman" w:cs="Times New Roman"/>
        </w:rPr>
        <w:t xml:space="preserve">This suggests that, in the short-run, youths in this particular group holding a job for an additional year would likely see their earnings increase more than their peers who had </w:t>
      </w:r>
      <w:r w:rsidR="009053B8">
        <w:rPr>
          <w:rFonts w:ascii="Times New Roman" w:hAnsi="Times New Roman" w:cs="Times New Roman"/>
        </w:rPr>
        <w:t xml:space="preserve">instead </w:t>
      </w:r>
      <w:r w:rsidR="00834932">
        <w:rPr>
          <w:rFonts w:ascii="Times New Roman" w:hAnsi="Times New Roman" w:cs="Times New Roman"/>
        </w:rPr>
        <w:t xml:space="preserve">completed one more grade in secondary school.  </w:t>
      </w:r>
      <w:r w:rsidR="009053B8">
        <w:rPr>
          <w:rFonts w:ascii="Times New Roman" w:hAnsi="Times New Roman" w:cs="Times New Roman"/>
        </w:rPr>
        <w:t>For new workers, the high rate of return to experience will not continue and the returns to education, especially if they obtain a high school degree, will increase and last for a lifetime.</w:t>
      </w:r>
    </w:p>
    <w:p w14:paraId="4BAD24BF" w14:textId="77777777" w:rsidR="009053B8" w:rsidRDefault="009053B8" w:rsidP="00AC6265">
      <w:pPr>
        <w:spacing w:after="0"/>
        <w:jc w:val="both"/>
        <w:rPr>
          <w:rFonts w:ascii="Times New Roman" w:hAnsi="Times New Roman" w:cs="Times New Roman"/>
        </w:rPr>
      </w:pPr>
    </w:p>
    <w:p w14:paraId="4C6793E5" w14:textId="04CDF2C7" w:rsidR="00531231" w:rsidRDefault="009053B8" w:rsidP="00AC6265">
      <w:pPr>
        <w:spacing w:after="0"/>
        <w:jc w:val="both"/>
        <w:rPr>
          <w:rFonts w:ascii="Times New Roman" w:hAnsi="Times New Roman" w:cs="Times New Roman"/>
        </w:rPr>
      </w:pPr>
      <w:r>
        <w:rPr>
          <w:rFonts w:ascii="Times New Roman" w:hAnsi="Times New Roman" w:cs="Times New Roman"/>
        </w:rPr>
        <w:t xml:space="preserve">Ohio’s high school graduation rate is about 85%.  Those without high school degrees are more likely to be in the CCMEP population than their graduating peers.  </w:t>
      </w:r>
      <w:r w:rsidR="00B20D7B">
        <w:rPr>
          <w:rFonts w:ascii="Times New Roman" w:hAnsi="Times New Roman" w:cs="Times New Roman"/>
        </w:rPr>
        <w:t>For those at the bottom of the educational distribution who, for one reason or another, are unlikely to get a high school degree or its equivalent, getting an</w:t>
      </w:r>
      <w:r w:rsidR="007E69BA">
        <w:rPr>
          <w:rFonts w:ascii="Times New Roman" w:hAnsi="Times New Roman" w:cs="Times New Roman"/>
        </w:rPr>
        <w:t>d</w:t>
      </w:r>
      <w:r w:rsidR="00B20D7B">
        <w:rPr>
          <w:rFonts w:ascii="Times New Roman" w:hAnsi="Times New Roman" w:cs="Times New Roman"/>
        </w:rPr>
        <w:t xml:space="preserve"> holding a job can get their career moving forward more quickly than commonly thought given the large initial return to experience</w:t>
      </w:r>
      <w:r w:rsidR="007E69BA">
        <w:rPr>
          <w:rFonts w:ascii="Times New Roman" w:hAnsi="Times New Roman" w:cs="Times New Roman"/>
        </w:rPr>
        <w:t xml:space="preserve"> estimated here</w:t>
      </w:r>
      <w:r w:rsidR="00B20D7B">
        <w:rPr>
          <w:rFonts w:ascii="Times New Roman" w:hAnsi="Times New Roman" w:cs="Times New Roman"/>
        </w:rPr>
        <w:t>.  Carefully tracking the workforce behavior of CCMEP clients will help us understand the longer</w:t>
      </w:r>
      <w:r w:rsidR="003F6274">
        <w:rPr>
          <w:rFonts w:ascii="Times New Roman" w:hAnsi="Times New Roman" w:cs="Times New Roman"/>
        </w:rPr>
        <w:t>-</w:t>
      </w:r>
      <w:r w:rsidR="00B20D7B">
        <w:rPr>
          <w:rFonts w:ascii="Times New Roman" w:hAnsi="Times New Roman" w:cs="Times New Roman"/>
        </w:rPr>
        <w:t>term impacts of programs like CCMEP.</w:t>
      </w:r>
    </w:p>
    <w:p w14:paraId="3CA1903C" w14:textId="77777777" w:rsidR="007F1301" w:rsidRDefault="007F1301" w:rsidP="00AC6265">
      <w:pPr>
        <w:spacing w:after="0"/>
        <w:jc w:val="both"/>
        <w:rPr>
          <w:rFonts w:ascii="Times New Roman" w:hAnsi="Times New Roman" w:cs="Times New Roman"/>
        </w:rPr>
      </w:pPr>
    </w:p>
    <w:p w14:paraId="1D2711AF" w14:textId="77777777" w:rsidR="00531231" w:rsidRDefault="00531231" w:rsidP="00AC6265">
      <w:pPr>
        <w:spacing w:after="0"/>
        <w:jc w:val="both"/>
        <w:rPr>
          <w:rFonts w:ascii="Times New Roman" w:hAnsi="Times New Roman" w:cs="Times New Roman"/>
        </w:rPr>
      </w:pPr>
      <w:r>
        <w:rPr>
          <w:rFonts w:ascii="Times New Roman" w:hAnsi="Times New Roman" w:cs="Times New Roman"/>
        </w:rPr>
        <w:t xml:space="preserve">WP stresses overcoming barriers.  </w:t>
      </w:r>
      <w:r w:rsidR="003C3A44">
        <w:rPr>
          <w:rFonts w:ascii="Times New Roman" w:hAnsi="Times New Roman" w:cs="Times New Roman"/>
        </w:rPr>
        <w:t xml:space="preserve">We see that the variables that reflect the presence of these barriers still act to reduce </w:t>
      </w:r>
      <w:r w:rsidR="00B20D7B">
        <w:rPr>
          <w:rFonts w:ascii="Times New Roman" w:hAnsi="Times New Roman" w:cs="Times New Roman"/>
        </w:rPr>
        <w:t>earnings</w:t>
      </w:r>
      <w:r w:rsidR="003C3A44">
        <w:rPr>
          <w:rFonts w:ascii="Times New Roman" w:hAnsi="Times New Roman" w:cs="Times New Roman"/>
        </w:rPr>
        <w:t>, so WP does not overcome those barriers so much as it appears to</w:t>
      </w:r>
      <w:r w:rsidR="00B20D7B">
        <w:rPr>
          <w:rFonts w:ascii="Times New Roman" w:hAnsi="Times New Roman" w:cs="Times New Roman"/>
        </w:rPr>
        <w:t xml:space="preserve"> mitigate the effect of those barriers</w:t>
      </w:r>
      <w:r w:rsidR="003C3A44">
        <w:rPr>
          <w:rFonts w:ascii="Times New Roman" w:hAnsi="Times New Roman" w:cs="Times New Roman"/>
        </w:rPr>
        <w:t xml:space="preserve">, in aggregate, benefit CCMEP clients eligible for Wage Pathways regardless of barriers.  Few would have expected the program </w:t>
      </w:r>
      <w:r w:rsidR="001F047C">
        <w:rPr>
          <w:rFonts w:ascii="Times New Roman" w:hAnsi="Times New Roman" w:cs="Times New Roman"/>
        </w:rPr>
        <w:t xml:space="preserve">to erase </w:t>
      </w:r>
      <w:r w:rsidR="007F1301">
        <w:rPr>
          <w:rFonts w:ascii="Times New Roman" w:hAnsi="Times New Roman" w:cs="Times New Roman"/>
        </w:rPr>
        <w:t xml:space="preserve">completely </w:t>
      </w:r>
      <w:r w:rsidR="001F047C">
        <w:rPr>
          <w:rFonts w:ascii="Times New Roman" w:hAnsi="Times New Roman" w:cs="Times New Roman"/>
        </w:rPr>
        <w:t>the effects of the cumulative disadvantage to which these vulnerable youths have been exposed.</w:t>
      </w:r>
    </w:p>
    <w:p w14:paraId="7EDE2FC7" w14:textId="77777777" w:rsidR="00980046" w:rsidRPr="0037311B" w:rsidRDefault="00980046" w:rsidP="00AC6265">
      <w:pPr>
        <w:spacing w:after="0"/>
        <w:jc w:val="both"/>
        <w:rPr>
          <w:rFonts w:ascii="Times New Roman" w:hAnsi="Times New Roman" w:cs="Times New Roman"/>
        </w:rPr>
      </w:pPr>
    </w:p>
    <w:p w14:paraId="2CDBD0E4" w14:textId="77777777" w:rsidR="003110C1" w:rsidRDefault="00387E7B" w:rsidP="00AC6265">
      <w:pPr>
        <w:pStyle w:val="Heading2"/>
        <w:jc w:val="both"/>
        <w:rPr>
          <w:rFonts w:ascii="Times New Roman" w:hAnsi="Times New Roman" w:cs="Times New Roman"/>
        </w:rPr>
      </w:pPr>
      <w:bookmarkStart w:id="26" w:name="_Toc20468479"/>
      <w:r>
        <w:rPr>
          <w:rFonts w:ascii="Times New Roman" w:hAnsi="Times New Roman" w:cs="Times New Roman"/>
        </w:rPr>
        <w:t xml:space="preserve">Summary of the Quantitative Evaluation and </w:t>
      </w:r>
      <w:r w:rsidR="003110C1" w:rsidRPr="00387E7B">
        <w:rPr>
          <w:rFonts w:ascii="Times New Roman" w:hAnsi="Times New Roman" w:cs="Times New Roman"/>
        </w:rPr>
        <w:t>Threats to Validity</w:t>
      </w:r>
      <w:bookmarkEnd w:id="26"/>
    </w:p>
    <w:p w14:paraId="07E98E60" w14:textId="77777777" w:rsidR="006C6271" w:rsidRDefault="0016778F" w:rsidP="00AC6265">
      <w:pPr>
        <w:spacing w:after="0"/>
        <w:jc w:val="both"/>
        <w:rPr>
          <w:rFonts w:ascii="Times New Roman" w:hAnsi="Times New Roman" w:cs="Times New Roman"/>
        </w:rPr>
      </w:pPr>
      <w:r>
        <w:rPr>
          <w:rFonts w:ascii="Times New Roman" w:hAnsi="Times New Roman" w:cs="Times New Roman"/>
        </w:rPr>
        <w:t xml:space="preserve">The estimated effect of having Wage Pathways available in a county is to raise average earnings for CCMEP clients who were age eligible by between $300 and $700 per year.  With </w:t>
      </w:r>
      <w:r w:rsidR="00623FD6">
        <w:rPr>
          <w:rFonts w:ascii="Times New Roman" w:hAnsi="Times New Roman" w:cs="Times New Roman"/>
        </w:rPr>
        <w:t>3</w:t>
      </w:r>
      <w:r>
        <w:rPr>
          <w:rFonts w:ascii="Times New Roman" w:hAnsi="Times New Roman" w:cs="Times New Roman"/>
        </w:rPr>
        <w:t xml:space="preserve">,000 youths </w:t>
      </w:r>
      <w:r w:rsidR="006C6271">
        <w:rPr>
          <w:rFonts w:ascii="Times New Roman" w:hAnsi="Times New Roman" w:cs="Times New Roman"/>
        </w:rPr>
        <w:t xml:space="preserve">in the four “experimental” counties </w:t>
      </w:r>
      <w:r>
        <w:rPr>
          <w:rFonts w:ascii="Times New Roman" w:hAnsi="Times New Roman" w:cs="Times New Roman"/>
        </w:rPr>
        <w:t>age</w:t>
      </w:r>
      <w:r w:rsidR="006C6271">
        <w:rPr>
          <w:rFonts w:ascii="Times New Roman" w:hAnsi="Times New Roman" w:cs="Times New Roman"/>
        </w:rPr>
        <w:t>-</w:t>
      </w:r>
      <w:r>
        <w:rPr>
          <w:rFonts w:ascii="Times New Roman" w:hAnsi="Times New Roman" w:cs="Times New Roman"/>
        </w:rPr>
        <w:t xml:space="preserve">eligible for WP, </w:t>
      </w:r>
      <w:r w:rsidR="006C6271">
        <w:rPr>
          <w:rFonts w:ascii="Times New Roman" w:hAnsi="Times New Roman" w:cs="Times New Roman"/>
        </w:rPr>
        <w:t>that is an aggregate earnings increase of between $</w:t>
      </w:r>
      <w:r w:rsidR="00623FD6">
        <w:rPr>
          <w:rFonts w:ascii="Times New Roman" w:hAnsi="Times New Roman" w:cs="Times New Roman"/>
        </w:rPr>
        <w:t>0.9</w:t>
      </w:r>
      <w:r w:rsidR="006C6271">
        <w:rPr>
          <w:rFonts w:ascii="Times New Roman" w:hAnsi="Times New Roman" w:cs="Times New Roman"/>
        </w:rPr>
        <w:t xml:space="preserve"> and $</w:t>
      </w:r>
      <w:r w:rsidR="00623FD6">
        <w:rPr>
          <w:rFonts w:ascii="Times New Roman" w:hAnsi="Times New Roman" w:cs="Times New Roman"/>
        </w:rPr>
        <w:t>2.1</w:t>
      </w:r>
      <w:r w:rsidR="006C6271">
        <w:rPr>
          <w:rFonts w:ascii="Times New Roman" w:hAnsi="Times New Roman" w:cs="Times New Roman"/>
        </w:rPr>
        <w:t xml:space="preserve"> million.   If a state-wide program for 100% rather than 20% of younger CCMEP clients were in place and the other counties could achieve the same impacts, these younger CCMEP clients in aggregate would have their earnings increase by between $</w:t>
      </w:r>
      <w:r w:rsidR="00623FD6">
        <w:rPr>
          <w:rFonts w:ascii="Times New Roman" w:hAnsi="Times New Roman" w:cs="Times New Roman"/>
        </w:rPr>
        <w:t>4</w:t>
      </w:r>
      <w:r w:rsidR="006C6271">
        <w:rPr>
          <w:rFonts w:ascii="Times New Roman" w:hAnsi="Times New Roman" w:cs="Times New Roman"/>
        </w:rPr>
        <w:t>.5 and $1</w:t>
      </w:r>
      <w:r w:rsidR="00623FD6">
        <w:rPr>
          <w:rFonts w:ascii="Times New Roman" w:hAnsi="Times New Roman" w:cs="Times New Roman"/>
        </w:rPr>
        <w:t>0</w:t>
      </w:r>
      <w:r w:rsidR="006C6271">
        <w:rPr>
          <w:rFonts w:ascii="Times New Roman" w:hAnsi="Times New Roman" w:cs="Times New Roman"/>
        </w:rPr>
        <w:t xml:space="preserve">.5 million.  </w:t>
      </w:r>
      <w:r w:rsidR="00876D95">
        <w:rPr>
          <w:rFonts w:ascii="Times New Roman" w:hAnsi="Times New Roman" w:cs="Times New Roman"/>
        </w:rPr>
        <w:t xml:space="preserve">With </w:t>
      </w:r>
      <w:r w:rsidR="00623FD6">
        <w:rPr>
          <w:rFonts w:ascii="Times New Roman" w:hAnsi="Times New Roman" w:cs="Times New Roman"/>
        </w:rPr>
        <w:t>our</w:t>
      </w:r>
      <w:r w:rsidR="00876D95">
        <w:rPr>
          <w:rFonts w:ascii="Times New Roman" w:hAnsi="Times New Roman" w:cs="Times New Roman"/>
        </w:rPr>
        <w:t xml:space="preserve"> short follow-up period, we cannot yet </w:t>
      </w:r>
      <w:r w:rsidR="00876D95">
        <w:rPr>
          <w:rFonts w:ascii="Times New Roman" w:hAnsi="Times New Roman" w:cs="Times New Roman"/>
        </w:rPr>
        <w:lastRenderedPageBreak/>
        <w:t xml:space="preserve">estimate the extent to which such gains might persist over the longer run.  Longer-run impacts would, of course, increase the average earnings benefit to eligibles. </w:t>
      </w:r>
    </w:p>
    <w:p w14:paraId="2607C0A9" w14:textId="77777777" w:rsidR="00623FD6" w:rsidRDefault="00623FD6" w:rsidP="00AC6265">
      <w:pPr>
        <w:spacing w:after="0"/>
        <w:jc w:val="both"/>
        <w:rPr>
          <w:rFonts w:ascii="Times New Roman" w:hAnsi="Times New Roman" w:cs="Times New Roman"/>
        </w:rPr>
      </w:pPr>
    </w:p>
    <w:p w14:paraId="56F0D04E" w14:textId="77777777" w:rsidR="00387E7B" w:rsidRDefault="00387E7B" w:rsidP="00AC6265">
      <w:pPr>
        <w:spacing w:after="0"/>
        <w:jc w:val="both"/>
        <w:rPr>
          <w:rFonts w:ascii="Times New Roman" w:hAnsi="Times New Roman" w:cs="Times New Roman"/>
        </w:rPr>
      </w:pPr>
      <w:r w:rsidRPr="00387E7B">
        <w:rPr>
          <w:rFonts w:ascii="Times New Roman" w:hAnsi="Times New Roman" w:cs="Times New Roman"/>
        </w:rPr>
        <w:t xml:space="preserve">The quantitative evaluation </w:t>
      </w:r>
      <w:r>
        <w:rPr>
          <w:rFonts w:ascii="Times New Roman" w:hAnsi="Times New Roman" w:cs="Times New Roman"/>
        </w:rPr>
        <w:t xml:space="preserve">leaned heavily on the availability of administrative data.  </w:t>
      </w:r>
      <w:r w:rsidR="00D943C8">
        <w:rPr>
          <w:rFonts w:ascii="Times New Roman" w:hAnsi="Times New Roman" w:cs="Times New Roman"/>
        </w:rPr>
        <w:t>These data provided data on about 15,000 CCMEP clients who, if they were in a Wage Pathways county, would have been age-eligible for the intervention. This sample size provided sufficient statistical power to measure the effect of the program.  Even if the program impact were only to increase earnings of eligibles by $200, we could have detected that.  Our findings are not an artifact of program staff assigning the best prospects to WP.  We designed the evaluation to avoid the bias “creaming” creates if one were to compare program participants to non-participants.  Because Wage Pathways focused on “work ready” clients,</w:t>
      </w:r>
      <w:r w:rsidR="0016778F">
        <w:rPr>
          <w:rFonts w:ascii="Times New Roman" w:hAnsi="Times New Roman" w:cs="Times New Roman"/>
        </w:rPr>
        <w:t xml:space="preserve"> having staff select the best candidates for Wage Pathways reflected the counties being faithful to the design of the program.</w:t>
      </w:r>
    </w:p>
    <w:p w14:paraId="6F74373F" w14:textId="77777777" w:rsidR="00D943C8" w:rsidRPr="00387E7B" w:rsidRDefault="00D943C8" w:rsidP="00AC6265">
      <w:pPr>
        <w:spacing w:after="0"/>
        <w:jc w:val="both"/>
        <w:rPr>
          <w:rFonts w:ascii="Times New Roman" w:hAnsi="Times New Roman" w:cs="Times New Roman"/>
        </w:rPr>
      </w:pPr>
    </w:p>
    <w:p w14:paraId="36AFFD03" w14:textId="5FCED6B0" w:rsidR="002548A7" w:rsidRDefault="00DD3F84" w:rsidP="00AC6265">
      <w:pPr>
        <w:spacing w:after="0"/>
        <w:jc w:val="both"/>
        <w:rPr>
          <w:rFonts w:ascii="Times New Roman" w:hAnsi="Times New Roman" w:cs="Times New Roman"/>
        </w:rPr>
      </w:pPr>
      <w:r w:rsidRPr="00DD3F84">
        <w:rPr>
          <w:rFonts w:ascii="Times New Roman" w:hAnsi="Times New Roman" w:cs="Times New Roman"/>
        </w:rPr>
        <w:t>The major threat to validity for these findings is having eligibles defined</w:t>
      </w:r>
      <w:r w:rsidR="0071441F">
        <w:rPr>
          <w:rFonts w:ascii="Times New Roman" w:hAnsi="Times New Roman" w:cs="Times New Roman"/>
        </w:rPr>
        <w:t xml:space="preserve"> </w:t>
      </w:r>
      <w:r w:rsidRPr="00DD3F84">
        <w:rPr>
          <w:rFonts w:ascii="Times New Roman" w:hAnsi="Times New Roman" w:cs="Times New Roman"/>
        </w:rPr>
        <w:t xml:space="preserve">by county rather than true random assignment.  As noted above, this reflects the political constraints under which CCMEP and all program must operate.  We have tried to attenuate this threat by constructing labor market indicators to control for the difference in labor market conditions of eligible versus ineligible counties.  Those indicators have significant effects in our outcome regressions, yet their presence does not materially affect the estimated effect of eligibility.  </w:t>
      </w:r>
      <w:r>
        <w:rPr>
          <w:rFonts w:ascii="Times New Roman" w:hAnsi="Times New Roman" w:cs="Times New Roman"/>
        </w:rPr>
        <w:t xml:space="preserve">We do not claim that this proves that our impacts do not, to some degree, confound county differences and program effects.  However, the </w:t>
      </w:r>
      <w:r w:rsidR="00876D95">
        <w:rPr>
          <w:rFonts w:ascii="Times New Roman" w:hAnsi="Times New Roman" w:cs="Times New Roman"/>
        </w:rPr>
        <w:t xml:space="preserve">positive measured impacts and the fact that the intervention covered 20% of age-eligible CCMEP clients </w:t>
      </w:r>
      <w:r>
        <w:rPr>
          <w:rFonts w:ascii="Times New Roman" w:hAnsi="Times New Roman" w:cs="Times New Roman"/>
        </w:rPr>
        <w:t>give reason to be quite hopeful.</w:t>
      </w:r>
    </w:p>
    <w:p w14:paraId="031B872D" w14:textId="77777777" w:rsidR="002548A7" w:rsidRDefault="002548A7" w:rsidP="00AC6265">
      <w:pPr>
        <w:spacing w:after="0"/>
        <w:jc w:val="both"/>
        <w:rPr>
          <w:rFonts w:ascii="Times New Roman" w:hAnsi="Times New Roman" w:cs="Times New Roman"/>
        </w:rPr>
      </w:pPr>
    </w:p>
    <w:p w14:paraId="58784FD7" w14:textId="63CEBF8B" w:rsidR="004138B7" w:rsidRDefault="002548A7" w:rsidP="00AC6265">
      <w:pPr>
        <w:spacing w:after="0"/>
        <w:jc w:val="both"/>
        <w:rPr>
          <w:rFonts w:ascii="Times New Roman" w:hAnsi="Times New Roman" w:cs="Times New Roman"/>
        </w:rPr>
      </w:pPr>
      <w:r>
        <w:rPr>
          <w:rFonts w:ascii="Times New Roman" w:hAnsi="Times New Roman" w:cs="Times New Roman"/>
        </w:rPr>
        <w:t>In Table 12, we show the means for key variables for the counties not offering WP (Control Counties) versus the four counties offering WP (Experimental Counties).  The only notable departure (other than the change in earnings) is a greater prevalence of Black CCMEP clients in the experimental counties.</w:t>
      </w:r>
    </w:p>
    <w:p w14:paraId="3D3D4752" w14:textId="0E1E308E" w:rsidR="002548A7" w:rsidRDefault="002548A7" w:rsidP="002548A7">
      <w:pPr>
        <w:spacing w:after="0"/>
        <w:jc w:val="center"/>
        <w:rPr>
          <w:rFonts w:ascii="Times New Roman" w:hAnsi="Times New Roman" w:cs="Times New Roman"/>
        </w:rPr>
      </w:pPr>
      <w:r>
        <w:rPr>
          <w:rFonts w:ascii="Times New Roman" w:hAnsi="Times New Roman" w:cs="Times New Roman"/>
        </w:rPr>
        <w:t>Table 12</w:t>
      </w:r>
    </w:p>
    <w:p w14:paraId="373979C0" w14:textId="76650C70" w:rsidR="002548A7" w:rsidRDefault="002548A7" w:rsidP="002548A7">
      <w:pPr>
        <w:spacing w:after="0"/>
        <w:jc w:val="center"/>
        <w:rPr>
          <w:rFonts w:ascii="Times New Roman" w:hAnsi="Times New Roman" w:cs="Times New Roman"/>
        </w:rPr>
      </w:pPr>
      <w:r>
        <w:rPr>
          <w:rFonts w:ascii="Times New Roman" w:hAnsi="Times New Roman" w:cs="Times New Roman"/>
        </w:rPr>
        <w:t>Means for Control vs Experimental Counties</w:t>
      </w:r>
    </w:p>
    <w:tbl>
      <w:tblPr>
        <w:tblW w:w="9180" w:type="dxa"/>
        <w:tblLook w:val="04A0" w:firstRow="1" w:lastRow="0" w:firstColumn="1" w:lastColumn="0" w:noHBand="0" w:noVBand="1"/>
        <w:tblCaption w:val="Variable Means"/>
        <w:tblDescription w:val="Gives variable means for control versus experimental counties."/>
      </w:tblPr>
      <w:tblGrid>
        <w:gridCol w:w="6120"/>
        <w:gridCol w:w="1440"/>
        <w:gridCol w:w="1620"/>
      </w:tblGrid>
      <w:tr w:rsidR="002548A7" w:rsidRPr="002548A7" w14:paraId="4E34ECA5" w14:textId="77777777" w:rsidTr="004021BD">
        <w:trPr>
          <w:trHeight w:val="615"/>
          <w:tblHeader/>
        </w:trPr>
        <w:tc>
          <w:tcPr>
            <w:tcW w:w="6120" w:type="dxa"/>
            <w:tcBorders>
              <w:top w:val="nil"/>
              <w:left w:val="nil"/>
              <w:bottom w:val="nil"/>
              <w:right w:val="nil"/>
            </w:tcBorders>
            <w:shd w:val="clear" w:color="auto" w:fill="auto"/>
            <w:vAlign w:val="bottom"/>
            <w:hideMark/>
          </w:tcPr>
          <w:p w14:paraId="56A4F8B3" w14:textId="77777777" w:rsidR="002548A7" w:rsidRPr="002548A7" w:rsidRDefault="002548A7" w:rsidP="002548A7">
            <w:pPr>
              <w:spacing w:after="0" w:line="240" w:lineRule="auto"/>
              <w:jc w:val="center"/>
              <w:rPr>
                <w:rFonts w:ascii="Times New Roman" w:eastAsia="Times New Roman" w:hAnsi="Times New Roman" w:cs="Times New Roman"/>
                <w:bCs/>
                <w:color w:val="000000"/>
              </w:rPr>
            </w:pPr>
            <w:r w:rsidRPr="002548A7">
              <w:rPr>
                <w:rFonts w:ascii="Times New Roman" w:eastAsia="Times New Roman" w:hAnsi="Times New Roman" w:cs="Times New Roman"/>
                <w:bCs/>
                <w:color w:val="000000"/>
              </w:rPr>
              <w:t>Variable</w:t>
            </w:r>
          </w:p>
        </w:tc>
        <w:tc>
          <w:tcPr>
            <w:tcW w:w="1440" w:type="dxa"/>
            <w:tcBorders>
              <w:top w:val="nil"/>
              <w:left w:val="nil"/>
              <w:bottom w:val="nil"/>
              <w:right w:val="nil"/>
            </w:tcBorders>
            <w:shd w:val="clear" w:color="auto" w:fill="auto"/>
            <w:vAlign w:val="bottom"/>
            <w:hideMark/>
          </w:tcPr>
          <w:p w14:paraId="11E5E204" w14:textId="77777777" w:rsidR="002548A7" w:rsidRPr="002548A7" w:rsidRDefault="002548A7" w:rsidP="002548A7">
            <w:pPr>
              <w:spacing w:after="0" w:line="240" w:lineRule="auto"/>
              <w:jc w:val="center"/>
              <w:rPr>
                <w:rFonts w:ascii="Times New Roman" w:eastAsia="Times New Roman" w:hAnsi="Times New Roman" w:cs="Times New Roman"/>
                <w:bCs/>
                <w:color w:val="000000"/>
              </w:rPr>
            </w:pPr>
            <w:r w:rsidRPr="002548A7">
              <w:rPr>
                <w:rFonts w:ascii="Times New Roman" w:eastAsia="Times New Roman" w:hAnsi="Times New Roman" w:cs="Times New Roman"/>
                <w:bCs/>
                <w:color w:val="000000"/>
              </w:rPr>
              <w:t>Control Counties</w:t>
            </w:r>
          </w:p>
        </w:tc>
        <w:tc>
          <w:tcPr>
            <w:tcW w:w="1620" w:type="dxa"/>
            <w:tcBorders>
              <w:top w:val="nil"/>
              <w:left w:val="nil"/>
              <w:bottom w:val="nil"/>
              <w:right w:val="nil"/>
            </w:tcBorders>
            <w:shd w:val="clear" w:color="auto" w:fill="auto"/>
            <w:vAlign w:val="bottom"/>
            <w:hideMark/>
          </w:tcPr>
          <w:p w14:paraId="3B1C7803" w14:textId="77777777" w:rsidR="002548A7" w:rsidRPr="002548A7" w:rsidRDefault="002548A7" w:rsidP="002548A7">
            <w:pPr>
              <w:spacing w:after="0" w:line="240" w:lineRule="auto"/>
              <w:jc w:val="center"/>
              <w:rPr>
                <w:rFonts w:ascii="Times New Roman" w:eastAsia="Times New Roman" w:hAnsi="Times New Roman" w:cs="Times New Roman"/>
                <w:bCs/>
                <w:color w:val="000000"/>
              </w:rPr>
            </w:pPr>
            <w:r w:rsidRPr="002548A7">
              <w:rPr>
                <w:rFonts w:ascii="Times New Roman" w:eastAsia="Times New Roman" w:hAnsi="Times New Roman" w:cs="Times New Roman"/>
                <w:bCs/>
                <w:color w:val="000000"/>
              </w:rPr>
              <w:t>Experimental Counties</w:t>
            </w:r>
          </w:p>
        </w:tc>
      </w:tr>
      <w:tr w:rsidR="002548A7" w:rsidRPr="002548A7" w14:paraId="51159E02" w14:textId="77777777" w:rsidTr="002548A7">
        <w:trPr>
          <w:trHeight w:val="300"/>
        </w:trPr>
        <w:tc>
          <w:tcPr>
            <w:tcW w:w="6120" w:type="dxa"/>
            <w:tcBorders>
              <w:top w:val="single" w:sz="8" w:space="0" w:color="C1C1C1"/>
              <w:left w:val="nil"/>
              <w:bottom w:val="nil"/>
              <w:right w:val="nil"/>
            </w:tcBorders>
            <w:shd w:val="clear" w:color="auto" w:fill="auto"/>
            <w:hideMark/>
          </w:tcPr>
          <w:p w14:paraId="5F6762D0" w14:textId="0FEF0C8B"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 xml:space="preserve">Difference </w:t>
            </w:r>
            <w:r w:rsidR="00EF0EE1">
              <w:rPr>
                <w:rFonts w:ascii="Times New Roman" w:eastAsia="Times New Roman" w:hAnsi="Times New Roman" w:cs="Times New Roman"/>
                <w:color w:val="000000"/>
              </w:rPr>
              <w:t xml:space="preserve">in </w:t>
            </w:r>
            <w:r w:rsidRPr="002548A7">
              <w:rPr>
                <w:rFonts w:ascii="Times New Roman" w:eastAsia="Times New Roman" w:hAnsi="Times New Roman" w:cs="Times New Roman"/>
                <w:color w:val="000000"/>
              </w:rPr>
              <w:t>Earnings</w:t>
            </w:r>
          </w:p>
        </w:tc>
        <w:tc>
          <w:tcPr>
            <w:tcW w:w="1440" w:type="dxa"/>
            <w:tcBorders>
              <w:top w:val="single" w:sz="8" w:space="0" w:color="C1C1C1"/>
              <w:left w:val="nil"/>
              <w:bottom w:val="nil"/>
              <w:right w:val="nil"/>
            </w:tcBorders>
            <w:shd w:val="clear" w:color="auto" w:fill="auto"/>
            <w:noWrap/>
            <w:hideMark/>
          </w:tcPr>
          <w:p w14:paraId="1C469C7B"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-126.99</w:t>
            </w:r>
          </w:p>
        </w:tc>
        <w:tc>
          <w:tcPr>
            <w:tcW w:w="1620" w:type="dxa"/>
            <w:tcBorders>
              <w:top w:val="single" w:sz="8" w:space="0" w:color="C1C1C1"/>
              <w:left w:val="single" w:sz="8" w:space="0" w:color="C1C1C1"/>
              <w:bottom w:val="nil"/>
              <w:right w:val="nil"/>
            </w:tcBorders>
            <w:shd w:val="clear" w:color="auto" w:fill="auto"/>
            <w:hideMark/>
          </w:tcPr>
          <w:p w14:paraId="5BEDE922"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290.39</w:t>
            </w:r>
          </w:p>
        </w:tc>
      </w:tr>
      <w:tr w:rsidR="002548A7" w:rsidRPr="002548A7" w14:paraId="74960347" w14:textId="77777777" w:rsidTr="002548A7">
        <w:trPr>
          <w:trHeight w:val="300"/>
        </w:trPr>
        <w:tc>
          <w:tcPr>
            <w:tcW w:w="6120" w:type="dxa"/>
            <w:tcBorders>
              <w:top w:val="nil"/>
              <w:left w:val="nil"/>
              <w:bottom w:val="nil"/>
              <w:right w:val="nil"/>
            </w:tcBorders>
            <w:shd w:val="clear" w:color="auto" w:fill="auto"/>
            <w:hideMark/>
          </w:tcPr>
          <w:p w14:paraId="455B98B4" w14:textId="50ED12E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Age in 2000 using BMV</w:t>
            </w:r>
            <w:r w:rsidR="00EF0EE1">
              <w:rPr>
                <w:rFonts w:ascii="Times New Roman" w:eastAsia="Times New Roman" w:hAnsi="Times New Roman" w:cs="Times New Roman"/>
                <w:color w:val="000000"/>
              </w:rPr>
              <w:t xml:space="preserve"> data</w:t>
            </w:r>
          </w:p>
        </w:tc>
        <w:tc>
          <w:tcPr>
            <w:tcW w:w="1440" w:type="dxa"/>
            <w:tcBorders>
              <w:top w:val="nil"/>
              <w:left w:val="nil"/>
              <w:bottom w:val="nil"/>
              <w:right w:val="nil"/>
            </w:tcBorders>
            <w:shd w:val="clear" w:color="auto" w:fill="auto"/>
            <w:hideMark/>
          </w:tcPr>
          <w:p w14:paraId="65FE1365"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2.60</w:t>
            </w:r>
          </w:p>
        </w:tc>
        <w:tc>
          <w:tcPr>
            <w:tcW w:w="1620" w:type="dxa"/>
            <w:tcBorders>
              <w:top w:val="nil"/>
              <w:left w:val="single" w:sz="8" w:space="0" w:color="C1C1C1"/>
              <w:bottom w:val="nil"/>
              <w:right w:val="nil"/>
            </w:tcBorders>
            <w:shd w:val="clear" w:color="auto" w:fill="auto"/>
            <w:hideMark/>
          </w:tcPr>
          <w:p w14:paraId="5F3AFA02"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2.65</w:t>
            </w:r>
          </w:p>
        </w:tc>
      </w:tr>
      <w:tr w:rsidR="002548A7" w:rsidRPr="002548A7" w14:paraId="3A854BBC" w14:textId="77777777" w:rsidTr="002548A7">
        <w:trPr>
          <w:trHeight w:val="324"/>
        </w:trPr>
        <w:tc>
          <w:tcPr>
            <w:tcW w:w="6120" w:type="dxa"/>
            <w:tcBorders>
              <w:top w:val="nil"/>
              <w:left w:val="nil"/>
              <w:bottom w:val="nil"/>
              <w:right w:val="nil"/>
            </w:tcBorders>
            <w:shd w:val="clear" w:color="auto" w:fill="auto"/>
            <w:hideMark/>
          </w:tcPr>
          <w:p w14:paraId="3A08B1DB" w14:textId="39BA5B5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Rate of Return firm-specific Exp</w:t>
            </w:r>
            <w:r w:rsidR="00EF0EE1">
              <w:rPr>
                <w:rFonts w:ascii="Times New Roman" w:eastAsia="Times New Roman" w:hAnsi="Times New Roman" w:cs="Times New Roman"/>
                <w:color w:val="000000"/>
              </w:rPr>
              <w:t>erience</w:t>
            </w:r>
            <w:r w:rsidRPr="002548A7">
              <w:rPr>
                <w:rFonts w:ascii="Times New Roman" w:eastAsia="Times New Roman" w:hAnsi="Times New Roman" w:cs="Times New Roman"/>
                <w:color w:val="000000"/>
              </w:rPr>
              <w:t xml:space="preserve"> in County</w:t>
            </w:r>
          </w:p>
        </w:tc>
        <w:tc>
          <w:tcPr>
            <w:tcW w:w="1440" w:type="dxa"/>
            <w:tcBorders>
              <w:top w:val="nil"/>
              <w:left w:val="nil"/>
              <w:bottom w:val="nil"/>
              <w:right w:val="nil"/>
            </w:tcBorders>
            <w:shd w:val="clear" w:color="auto" w:fill="auto"/>
            <w:hideMark/>
          </w:tcPr>
          <w:p w14:paraId="7A9BEA28"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14.36</w:t>
            </w:r>
          </w:p>
        </w:tc>
        <w:tc>
          <w:tcPr>
            <w:tcW w:w="1620" w:type="dxa"/>
            <w:tcBorders>
              <w:top w:val="nil"/>
              <w:left w:val="single" w:sz="8" w:space="0" w:color="C1C1C1"/>
              <w:bottom w:val="nil"/>
              <w:right w:val="nil"/>
            </w:tcBorders>
            <w:shd w:val="clear" w:color="auto" w:fill="auto"/>
            <w:hideMark/>
          </w:tcPr>
          <w:p w14:paraId="4A730B4C"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14.20</w:t>
            </w:r>
          </w:p>
        </w:tc>
      </w:tr>
      <w:tr w:rsidR="002548A7" w:rsidRPr="002548A7" w14:paraId="5A788CDC" w14:textId="77777777" w:rsidTr="002548A7">
        <w:trPr>
          <w:trHeight w:val="360"/>
        </w:trPr>
        <w:tc>
          <w:tcPr>
            <w:tcW w:w="6120" w:type="dxa"/>
            <w:tcBorders>
              <w:top w:val="nil"/>
              <w:left w:val="nil"/>
              <w:bottom w:val="nil"/>
              <w:right w:val="nil"/>
            </w:tcBorders>
            <w:shd w:val="clear" w:color="auto" w:fill="auto"/>
            <w:hideMark/>
          </w:tcPr>
          <w:p w14:paraId="26B73F12" w14:textId="14377099" w:rsidR="002548A7" w:rsidRPr="002548A7" w:rsidRDefault="002548A7" w:rsidP="00EF0EE1">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 xml:space="preserve">Youth in youth-intensive industries as % </w:t>
            </w:r>
            <w:r w:rsidR="00EF0EE1" w:rsidRPr="00EF0EE1">
              <w:rPr>
                <w:rFonts w:ascii="Times New Roman" w:eastAsia="Times New Roman" w:hAnsi="Times New Roman" w:cs="Times New Roman"/>
                <w:color w:val="000000"/>
              </w:rPr>
              <w:t xml:space="preserve">of </w:t>
            </w:r>
            <w:r w:rsidRPr="002548A7">
              <w:rPr>
                <w:rFonts w:ascii="Times New Roman" w:eastAsia="Times New Roman" w:hAnsi="Times New Roman" w:cs="Times New Roman"/>
                <w:color w:val="000000"/>
              </w:rPr>
              <w:t>pop</w:t>
            </w:r>
          </w:p>
        </w:tc>
        <w:tc>
          <w:tcPr>
            <w:tcW w:w="1440" w:type="dxa"/>
            <w:tcBorders>
              <w:top w:val="nil"/>
              <w:left w:val="nil"/>
              <w:bottom w:val="nil"/>
              <w:right w:val="nil"/>
            </w:tcBorders>
            <w:shd w:val="clear" w:color="auto" w:fill="auto"/>
            <w:hideMark/>
          </w:tcPr>
          <w:p w14:paraId="5EFB4BDC"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4.10</w:t>
            </w:r>
          </w:p>
        </w:tc>
        <w:tc>
          <w:tcPr>
            <w:tcW w:w="1620" w:type="dxa"/>
            <w:tcBorders>
              <w:top w:val="nil"/>
              <w:left w:val="single" w:sz="8" w:space="0" w:color="C1C1C1"/>
              <w:bottom w:val="nil"/>
              <w:right w:val="nil"/>
            </w:tcBorders>
            <w:shd w:val="clear" w:color="auto" w:fill="auto"/>
            <w:hideMark/>
          </w:tcPr>
          <w:p w14:paraId="699A2B35"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4.05</w:t>
            </w:r>
          </w:p>
        </w:tc>
      </w:tr>
      <w:tr w:rsidR="002548A7" w:rsidRPr="002548A7" w14:paraId="01D8EF82" w14:textId="77777777" w:rsidTr="00EF0EE1">
        <w:trPr>
          <w:trHeight w:val="360"/>
        </w:trPr>
        <w:tc>
          <w:tcPr>
            <w:tcW w:w="6120" w:type="dxa"/>
            <w:tcBorders>
              <w:top w:val="nil"/>
              <w:left w:val="nil"/>
              <w:bottom w:val="nil"/>
              <w:right w:val="nil"/>
            </w:tcBorders>
            <w:shd w:val="clear" w:color="auto" w:fill="auto"/>
            <w:hideMark/>
          </w:tcPr>
          <w:p w14:paraId="5DC0B062"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Fraction youth ever employed</w:t>
            </w:r>
          </w:p>
        </w:tc>
        <w:tc>
          <w:tcPr>
            <w:tcW w:w="1440" w:type="dxa"/>
            <w:tcBorders>
              <w:top w:val="nil"/>
              <w:left w:val="nil"/>
              <w:bottom w:val="nil"/>
              <w:right w:val="nil"/>
            </w:tcBorders>
            <w:shd w:val="clear" w:color="auto" w:fill="auto"/>
            <w:hideMark/>
          </w:tcPr>
          <w:p w14:paraId="443B7EFC"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88.20</w:t>
            </w:r>
          </w:p>
        </w:tc>
        <w:tc>
          <w:tcPr>
            <w:tcW w:w="1620" w:type="dxa"/>
            <w:tcBorders>
              <w:top w:val="nil"/>
              <w:left w:val="single" w:sz="8" w:space="0" w:color="C1C1C1"/>
              <w:bottom w:val="nil"/>
              <w:right w:val="nil"/>
            </w:tcBorders>
            <w:shd w:val="clear" w:color="auto" w:fill="auto"/>
            <w:hideMark/>
          </w:tcPr>
          <w:p w14:paraId="39836C27"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88.65</w:t>
            </w:r>
          </w:p>
        </w:tc>
      </w:tr>
      <w:tr w:rsidR="002548A7" w:rsidRPr="002548A7" w14:paraId="6374B801" w14:textId="77777777" w:rsidTr="002548A7">
        <w:trPr>
          <w:trHeight w:val="300"/>
        </w:trPr>
        <w:tc>
          <w:tcPr>
            <w:tcW w:w="6120" w:type="dxa"/>
            <w:tcBorders>
              <w:top w:val="nil"/>
              <w:left w:val="nil"/>
              <w:bottom w:val="nil"/>
              <w:right w:val="nil"/>
            </w:tcBorders>
            <w:shd w:val="clear" w:color="auto" w:fill="auto"/>
            <w:hideMark/>
          </w:tcPr>
          <w:p w14:paraId="7A6911CF" w14:textId="5FF839F8"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Gender</w:t>
            </w:r>
            <w:r w:rsidR="00EF0EE1">
              <w:rPr>
                <w:rFonts w:ascii="Times New Roman" w:eastAsia="Times New Roman" w:hAnsi="Times New Roman" w:cs="Times New Roman"/>
                <w:color w:val="000000"/>
              </w:rPr>
              <w:t xml:space="preserve"> (2=female)</w:t>
            </w:r>
          </w:p>
        </w:tc>
        <w:tc>
          <w:tcPr>
            <w:tcW w:w="1440" w:type="dxa"/>
            <w:tcBorders>
              <w:top w:val="nil"/>
              <w:left w:val="nil"/>
              <w:bottom w:val="nil"/>
              <w:right w:val="nil"/>
            </w:tcBorders>
            <w:shd w:val="clear" w:color="auto" w:fill="auto"/>
            <w:hideMark/>
          </w:tcPr>
          <w:p w14:paraId="2BDD2C43"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1.64</w:t>
            </w:r>
          </w:p>
        </w:tc>
        <w:tc>
          <w:tcPr>
            <w:tcW w:w="1620" w:type="dxa"/>
            <w:tcBorders>
              <w:top w:val="nil"/>
              <w:left w:val="single" w:sz="8" w:space="0" w:color="C1C1C1"/>
              <w:bottom w:val="nil"/>
              <w:right w:val="nil"/>
            </w:tcBorders>
            <w:shd w:val="clear" w:color="auto" w:fill="auto"/>
            <w:hideMark/>
          </w:tcPr>
          <w:p w14:paraId="5EF7CCB2"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1.64</w:t>
            </w:r>
          </w:p>
        </w:tc>
      </w:tr>
      <w:tr w:rsidR="002548A7" w:rsidRPr="002548A7" w14:paraId="56E053FD" w14:textId="77777777" w:rsidTr="002548A7">
        <w:trPr>
          <w:trHeight w:val="300"/>
        </w:trPr>
        <w:tc>
          <w:tcPr>
            <w:tcW w:w="6120" w:type="dxa"/>
            <w:tcBorders>
              <w:top w:val="nil"/>
              <w:left w:val="nil"/>
              <w:bottom w:val="nil"/>
              <w:right w:val="nil"/>
            </w:tcBorders>
            <w:shd w:val="clear" w:color="auto" w:fill="auto"/>
            <w:hideMark/>
          </w:tcPr>
          <w:p w14:paraId="0FC3FB6C"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Months FS Recipiency</w:t>
            </w:r>
          </w:p>
        </w:tc>
        <w:tc>
          <w:tcPr>
            <w:tcW w:w="1440" w:type="dxa"/>
            <w:tcBorders>
              <w:top w:val="nil"/>
              <w:left w:val="nil"/>
              <w:bottom w:val="nil"/>
              <w:right w:val="nil"/>
            </w:tcBorders>
            <w:shd w:val="clear" w:color="auto" w:fill="auto"/>
            <w:hideMark/>
          </w:tcPr>
          <w:p w14:paraId="6C9117C7"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46.21</w:t>
            </w:r>
          </w:p>
        </w:tc>
        <w:tc>
          <w:tcPr>
            <w:tcW w:w="1620" w:type="dxa"/>
            <w:tcBorders>
              <w:top w:val="nil"/>
              <w:left w:val="single" w:sz="8" w:space="0" w:color="C1C1C1"/>
              <w:bottom w:val="nil"/>
              <w:right w:val="nil"/>
            </w:tcBorders>
            <w:shd w:val="clear" w:color="auto" w:fill="auto"/>
            <w:hideMark/>
          </w:tcPr>
          <w:p w14:paraId="154A1A51"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44.32</w:t>
            </w:r>
          </w:p>
        </w:tc>
      </w:tr>
      <w:tr w:rsidR="002548A7" w:rsidRPr="002548A7" w14:paraId="582426C5" w14:textId="77777777" w:rsidTr="002548A7">
        <w:trPr>
          <w:trHeight w:val="300"/>
        </w:trPr>
        <w:tc>
          <w:tcPr>
            <w:tcW w:w="6120" w:type="dxa"/>
            <w:tcBorders>
              <w:top w:val="nil"/>
              <w:left w:val="nil"/>
              <w:bottom w:val="nil"/>
              <w:right w:val="nil"/>
            </w:tcBorders>
            <w:shd w:val="clear" w:color="auto" w:fill="auto"/>
            <w:hideMark/>
          </w:tcPr>
          <w:p w14:paraId="77030472"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Months TANF Recipiency</w:t>
            </w:r>
          </w:p>
        </w:tc>
        <w:tc>
          <w:tcPr>
            <w:tcW w:w="1440" w:type="dxa"/>
            <w:tcBorders>
              <w:top w:val="nil"/>
              <w:left w:val="nil"/>
              <w:bottom w:val="nil"/>
              <w:right w:val="nil"/>
            </w:tcBorders>
            <w:shd w:val="clear" w:color="auto" w:fill="auto"/>
            <w:hideMark/>
          </w:tcPr>
          <w:p w14:paraId="49CE8D10"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20.79</w:t>
            </w:r>
          </w:p>
        </w:tc>
        <w:tc>
          <w:tcPr>
            <w:tcW w:w="1620" w:type="dxa"/>
            <w:tcBorders>
              <w:top w:val="nil"/>
              <w:left w:val="single" w:sz="8" w:space="0" w:color="C1C1C1"/>
              <w:bottom w:val="nil"/>
              <w:right w:val="nil"/>
            </w:tcBorders>
            <w:shd w:val="clear" w:color="auto" w:fill="auto"/>
            <w:hideMark/>
          </w:tcPr>
          <w:p w14:paraId="14067E33"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19.24</w:t>
            </w:r>
          </w:p>
        </w:tc>
      </w:tr>
      <w:tr w:rsidR="002548A7" w:rsidRPr="002548A7" w14:paraId="7E0B626D" w14:textId="77777777" w:rsidTr="00EF0EE1">
        <w:trPr>
          <w:trHeight w:val="360"/>
        </w:trPr>
        <w:tc>
          <w:tcPr>
            <w:tcW w:w="6120" w:type="dxa"/>
            <w:tcBorders>
              <w:top w:val="nil"/>
              <w:left w:val="nil"/>
              <w:bottom w:val="nil"/>
              <w:right w:val="nil"/>
            </w:tcBorders>
            <w:shd w:val="clear" w:color="auto" w:fill="auto"/>
            <w:hideMark/>
          </w:tcPr>
          <w:p w14:paraId="7DF02EE7"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Highest Grade Completed</w:t>
            </w:r>
          </w:p>
        </w:tc>
        <w:tc>
          <w:tcPr>
            <w:tcW w:w="1440" w:type="dxa"/>
            <w:tcBorders>
              <w:top w:val="nil"/>
              <w:left w:val="nil"/>
              <w:bottom w:val="nil"/>
              <w:right w:val="nil"/>
            </w:tcBorders>
            <w:shd w:val="clear" w:color="auto" w:fill="auto"/>
            <w:hideMark/>
          </w:tcPr>
          <w:p w14:paraId="02443DDF"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10.38</w:t>
            </w:r>
          </w:p>
        </w:tc>
        <w:tc>
          <w:tcPr>
            <w:tcW w:w="1620" w:type="dxa"/>
            <w:tcBorders>
              <w:top w:val="nil"/>
              <w:left w:val="single" w:sz="8" w:space="0" w:color="C1C1C1"/>
              <w:bottom w:val="nil"/>
              <w:right w:val="nil"/>
            </w:tcBorders>
            <w:shd w:val="clear" w:color="auto" w:fill="auto"/>
            <w:hideMark/>
          </w:tcPr>
          <w:p w14:paraId="0F06417F"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10.18</w:t>
            </w:r>
          </w:p>
        </w:tc>
      </w:tr>
      <w:tr w:rsidR="002548A7" w:rsidRPr="002548A7" w14:paraId="0B313577" w14:textId="77777777" w:rsidTr="00EF0EE1">
        <w:trPr>
          <w:trHeight w:val="360"/>
        </w:trPr>
        <w:tc>
          <w:tcPr>
            <w:tcW w:w="6120" w:type="dxa"/>
            <w:tcBorders>
              <w:top w:val="nil"/>
              <w:left w:val="nil"/>
              <w:bottom w:val="nil"/>
              <w:right w:val="nil"/>
            </w:tcBorders>
            <w:shd w:val="clear" w:color="auto" w:fill="auto"/>
            <w:hideMark/>
          </w:tcPr>
          <w:p w14:paraId="15CBF6C5"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Had IEP In School</w:t>
            </w:r>
          </w:p>
        </w:tc>
        <w:tc>
          <w:tcPr>
            <w:tcW w:w="1440" w:type="dxa"/>
            <w:tcBorders>
              <w:top w:val="nil"/>
              <w:left w:val="nil"/>
              <w:bottom w:val="nil"/>
              <w:right w:val="nil"/>
            </w:tcBorders>
            <w:shd w:val="clear" w:color="auto" w:fill="auto"/>
            <w:hideMark/>
          </w:tcPr>
          <w:p w14:paraId="4CC6B11E"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0.25</w:t>
            </w:r>
          </w:p>
        </w:tc>
        <w:tc>
          <w:tcPr>
            <w:tcW w:w="1620" w:type="dxa"/>
            <w:tcBorders>
              <w:top w:val="nil"/>
              <w:left w:val="single" w:sz="8" w:space="0" w:color="C1C1C1"/>
              <w:bottom w:val="nil"/>
              <w:right w:val="nil"/>
            </w:tcBorders>
            <w:shd w:val="clear" w:color="auto" w:fill="auto"/>
            <w:hideMark/>
          </w:tcPr>
          <w:p w14:paraId="7D85A5A9"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0.24</w:t>
            </w:r>
          </w:p>
        </w:tc>
      </w:tr>
      <w:tr w:rsidR="002548A7" w:rsidRPr="002548A7" w14:paraId="16293E47" w14:textId="77777777" w:rsidTr="00EF0EE1">
        <w:trPr>
          <w:trHeight w:val="360"/>
        </w:trPr>
        <w:tc>
          <w:tcPr>
            <w:tcW w:w="6120" w:type="dxa"/>
            <w:tcBorders>
              <w:top w:val="nil"/>
              <w:left w:val="nil"/>
              <w:bottom w:val="nil"/>
              <w:right w:val="nil"/>
            </w:tcBorders>
            <w:shd w:val="clear" w:color="auto" w:fill="auto"/>
            <w:hideMark/>
          </w:tcPr>
          <w:p w14:paraId="79DCCD73"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R Has Reliable Transportation</w:t>
            </w:r>
          </w:p>
        </w:tc>
        <w:tc>
          <w:tcPr>
            <w:tcW w:w="1440" w:type="dxa"/>
            <w:tcBorders>
              <w:top w:val="nil"/>
              <w:left w:val="nil"/>
              <w:bottom w:val="nil"/>
              <w:right w:val="nil"/>
            </w:tcBorders>
            <w:shd w:val="clear" w:color="auto" w:fill="auto"/>
            <w:hideMark/>
          </w:tcPr>
          <w:p w14:paraId="26C2AFF6"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0.85</w:t>
            </w:r>
          </w:p>
        </w:tc>
        <w:tc>
          <w:tcPr>
            <w:tcW w:w="1620" w:type="dxa"/>
            <w:tcBorders>
              <w:top w:val="nil"/>
              <w:left w:val="single" w:sz="8" w:space="0" w:color="C1C1C1"/>
              <w:bottom w:val="nil"/>
              <w:right w:val="nil"/>
            </w:tcBorders>
            <w:shd w:val="clear" w:color="auto" w:fill="auto"/>
            <w:hideMark/>
          </w:tcPr>
          <w:p w14:paraId="15E53B86"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0.89</w:t>
            </w:r>
          </w:p>
        </w:tc>
      </w:tr>
      <w:tr w:rsidR="002548A7" w:rsidRPr="002548A7" w14:paraId="7BDB5A68" w14:textId="77777777" w:rsidTr="002548A7">
        <w:trPr>
          <w:trHeight w:val="300"/>
        </w:trPr>
        <w:tc>
          <w:tcPr>
            <w:tcW w:w="6120" w:type="dxa"/>
            <w:tcBorders>
              <w:top w:val="nil"/>
              <w:left w:val="nil"/>
              <w:bottom w:val="nil"/>
              <w:right w:val="nil"/>
            </w:tcBorders>
            <w:shd w:val="clear" w:color="auto" w:fill="auto"/>
            <w:hideMark/>
          </w:tcPr>
          <w:p w14:paraId="4746DEEB"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Ever in Juvenile Court?</w:t>
            </w:r>
          </w:p>
        </w:tc>
        <w:tc>
          <w:tcPr>
            <w:tcW w:w="1440" w:type="dxa"/>
            <w:tcBorders>
              <w:top w:val="nil"/>
              <w:left w:val="nil"/>
              <w:bottom w:val="nil"/>
              <w:right w:val="nil"/>
            </w:tcBorders>
            <w:shd w:val="clear" w:color="auto" w:fill="auto"/>
            <w:hideMark/>
          </w:tcPr>
          <w:p w14:paraId="04E2AEE6"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0.17</w:t>
            </w:r>
          </w:p>
        </w:tc>
        <w:tc>
          <w:tcPr>
            <w:tcW w:w="1620" w:type="dxa"/>
            <w:tcBorders>
              <w:top w:val="nil"/>
              <w:left w:val="single" w:sz="8" w:space="0" w:color="C1C1C1"/>
              <w:bottom w:val="nil"/>
              <w:right w:val="nil"/>
            </w:tcBorders>
            <w:shd w:val="clear" w:color="auto" w:fill="auto"/>
            <w:hideMark/>
          </w:tcPr>
          <w:p w14:paraId="075C52A6"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0.15</w:t>
            </w:r>
          </w:p>
        </w:tc>
      </w:tr>
      <w:tr w:rsidR="002548A7" w:rsidRPr="002548A7" w14:paraId="2227E544" w14:textId="77777777" w:rsidTr="002548A7">
        <w:trPr>
          <w:trHeight w:val="300"/>
        </w:trPr>
        <w:tc>
          <w:tcPr>
            <w:tcW w:w="6120" w:type="dxa"/>
            <w:tcBorders>
              <w:top w:val="nil"/>
              <w:left w:val="nil"/>
              <w:bottom w:val="nil"/>
              <w:right w:val="nil"/>
            </w:tcBorders>
            <w:shd w:val="clear" w:color="auto" w:fill="auto"/>
            <w:hideMark/>
          </w:tcPr>
          <w:p w14:paraId="29283926"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Has Minor Children</w:t>
            </w:r>
          </w:p>
        </w:tc>
        <w:tc>
          <w:tcPr>
            <w:tcW w:w="1440" w:type="dxa"/>
            <w:tcBorders>
              <w:top w:val="nil"/>
              <w:left w:val="nil"/>
              <w:bottom w:val="nil"/>
              <w:right w:val="nil"/>
            </w:tcBorders>
            <w:shd w:val="clear" w:color="auto" w:fill="auto"/>
            <w:hideMark/>
          </w:tcPr>
          <w:p w14:paraId="072539E7"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0.37</w:t>
            </w:r>
          </w:p>
        </w:tc>
        <w:tc>
          <w:tcPr>
            <w:tcW w:w="1620" w:type="dxa"/>
            <w:tcBorders>
              <w:top w:val="nil"/>
              <w:left w:val="single" w:sz="8" w:space="0" w:color="C1C1C1"/>
              <w:bottom w:val="nil"/>
              <w:right w:val="nil"/>
            </w:tcBorders>
            <w:shd w:val="clear" w:color="auto" w:fill="auto"/>
            <w:hideMark/>
          </w:tcPr>
          <w:p w14:paraId="3A2B1741"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0.31</w:t>
            </w:r>
          </w:p>
        </w:tc>
      </w:tr>
      <w:tr w:rsidR="002548A7" w:rsidRPr="002548A7" w14:paraId="6F6CBA67" w14:textId="77777777" w:rsidTr="00EF0EE1">
        <w:trPr>
          <w:trHeight w:val="297"/>
        </w:trPr>
        <w:tc>
          <w:tcPr>
            <w:tcW w:w="6120" w:type="dxa"/>
            <w:tcBorders>
              <w:top w:val="nil"/>
              <w:left w:val="nil"/>
              <w:bottom w:val="nil"/>
              <w:right w:val="nil"/>
            </w:tcBorders>
            <w:shd w:val="clear" w:color="auto" w:fill="auto"/>
            <w:hideMark/>
          </w:tcPr>
          <w:p w14:paraId="6F933492"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Female with minor children</w:t>
            </w:r>
          </w:p>
        </w:tc>
        <w:tc>
          <w:tcPr>
            <w:tcW w:w="1440" w:type="dxa"/>
            <w:tcBorders>
              <w:top w:val="nil"/>
              <w:left w:val="nil"/>
              <w:bottom w:val="nil"/>
              <w:right w:val="nil"/>
            </w:tcBorders>
            <w:shd w:val="clear" w:color="auto" w:fill="auto"/>
            <w:hideMark/>
          </w:tcPr>
          <w:p w14:paraId="7D54C131"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0.32</w:t>
            </w:r>
          </w:p>
        </w:tc>
        <w:tc>
          <w:tcPr>
            <w:tcW w:w="1620" w:type="dxa"/>
            <w:tcBorders>
              <w:top w:val="nil"/>
              <w:left w:val="single" w:sz="8" w:space="0" w:color="C1C1C1"/>
              <w:bottom w:val="nil"/>
              <w:right w:val="nil"/>
            </w:tcBorders>
            <w:shd w:val="clear" w:color="auto" w:fill="auto"/>
            <w:hideMark/>
          </w:tcPr>
          <w:p w14:paraId="37847441"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0.27</w:t>
            </w:r>
          </w:p>
        </w:tc>
      </w:tr>
      <w:tr w:rsidR="002548A7" w:rsidRPr="002548A7" w14:paraId="03393D3D" w14:textId="77777777" w:rsidTr="002548A7">
        <w:trPr>
          <w:trHeight w:val="300"/>
        </w:trPr>
        <w:tc>
          <w:tcPr>
            <w:tcW w:w="6120" w:type="dxa"/>
            <w:tcBorders>
              <w:top w:val="nil"/>
              <w:left w:val="nil"/>
              <w:bottom w:val="nil"/>
              <w:right w:val="nil"/>
            </w:tcBorders>
            <w:shd w:val="clear" w:color="auto" w:fill="auto"/>
            <w:hideMark/>
          </w:tcPr>
          <w:p w14:paraId="3937E4A0"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Hispanic</w:t>
            </w:r>
          </w:p>
        </w:tc>
        <w:tc>
          <w:tcPr>
            <w:tcW w:w="1440" w:type="dxa"/>
            <w:tcBorders>
              <w:top w:val="nil"/>
              <w:left w:val="nil"/>
              <w:bottom w:val="nil"/>
              <w:right w:val="nil"/>
            </w:tcBorders>
            <w:shd w:val="clear" w:color="auto" w:fill="auto"/>
            <w:hideMark/>
          </w:tcPr>
          <w:p w14:paraId="304A947C"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0.03</w:t>
            </w:r>
          </w:p>
        </w:tc>
        <w:tc>
          <w:tcPr>
            <w:tcW w:w="1620" w:type="dxa"/>
            <w:tcBorders>
              <w:top w:val="nil"/>
              <w:left w:val="single" w:sz="8" w:space="0" w:color="C1C1C1"/>
              <w:bottom w:val="nil"/>
              <w:right w:val="nil"/>
            </w:tcBorders>
            <w:shd w:val="clear" w:color="auto" w:fill="auto"/>
            <w:hideMark/>
          </w:tcPr>
          <w:p w14:paraId="382F2207"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0.05</w:t>
            </w:r>
          </w:p>
        </w:tc>
      </w:tr>
      <w:tr w:rsidR="002548A7" w:rsidRPr="002548A7" w14:paraId="25486F95" w14:textId="77777777" w:rsidTr="002548A7">
        <w:trPr>
          <w:trHeight w:val="300"/>
        </w:trPr>
        <w:tc>
          <w:tcPr>
            <w:tcW w:w="6120" w:type="dxa"/>
            <w:tcBorders>
              <w:top w:val="nil"/>
              <w:left w:val="nil"/>
              <w:bottom w:val="nil"/>
              <w:right w:val="nil"/>
            </w:tcBorders>
            <w:shd w:val="clear" w:color="auto" w:fill="auto"/>
            <w:hideMark/>
          </w:tcPr>
          <w:p w14:paraId="45EF06B4" w14:textId="77777777" w:rsidR="002548A7" w:rsidRPr="002548A7" w:rsidRDefault="002548A7" w:rsidP="002548A7">
            <w:pPr>
              <w:spacing w:after="0" w:line="240" w:lineRule="auto"/>
              <w:rPr>
                <w:rFonts w:ascii="Times New Roman" w:eastAsia="Times New Roman" w:hAnsi="Times New Roman" w:cs="Times New Roman"/>
                <w:color w:val="000000"/>
              </w:rPr>
            </w:pPr>
            <w:r w:rsidRPr="002548A7">
              <w:rPr>
                <w:rFonts w:ascii="Times New Roman" w:eastAsia="Times New Roman" w:hAnsi="Times New Roman" w:cs="Times New Roman"/>
                <w:color w:val="000000"/>
              </w:rPr>
              <w:t>Black</w:t>
            </w:r>
          </w:p>
        </w:tc>
        <w:tc>
          <w:tcPr>
            <w:tcW w:w="1440" w:type="dxa"/>
            <w:tcBorders>
              <w:top w:val="nil"/>
              <w:left w:val="nil"/>
              <w:bottom w:val="nil"/>
              <w:right w:val="nil"/>
            </w:tcBorders>
            <w:shd w:val="clear" w:color="auto" w:fill="auto"/>
            <w:hideMark/>
          </w:tcPr>
          <w:p w14:paraId="7DE11469"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0.44</w:t>
            </w:r>
          </w:p>
        </w:tc>
        <w:tc>
          <w:tcPr>
            <w:tcW w:w="1620" w:type="dxa"/>
            <w:tcBorders>
              <w:top w:val="nil"/>
              <w:left w:val="single" w:sz="8" w:space="0" w:color="C1C1C1"/>
              <w:bottom w:val="nil"/>
              <w:right w:val="nil"/>
            </w:tcBorders>
            <w:shd w:val="clear" w:color="auto" w:fill="auto"/>
            <w:hideMark/>
          </w:tcPr>
          <w:p w14:paraId="3ED8FC00" w14:textId="77777777" w:rsidR="002548A7" w:rsidRPr="002548A7" w:rsidRDefault="002548A7" w:rsidP="002548A7">
            <w:pPr>
              <w:spacing w:after="0" w:line="240" w:lineRule="auto"/>
              <w:jc w:val="right"/>
              <w:rPr>
                <w:rFonts w:ascii="Times New Roman" w:eastAsia="Times New Roman" w:hAnsi="Times New Roman" w:cs="Times New Roman"/>
                <w:color w:val="000000"/>
              </w:rPr>
            </w:pPr>
            <w:r w:rsidRPr="002548A7">
              <w:rPr>
                <w:rFonts w:ascii="Times New Roman" w:eastAsia="Times New Roman" w:hAnsi="Times New Roman" w:cs="Times New Roman"/>
                <w:color w:val="000000"/>
              </w:rPr>
              <w:t>0.75</w:t>
            </w:r>
          </w:p>
        </w:tc>
      </w:tr>
    </w:tbl>
    <w:p w14:paraId="66AB34E4" w14:textId="1C752AB7" w:rsidR="00DD3F84" w:rsidRDefault="00DD3F84" w:rsidP="00AC6265">
      <w:pPr>
        <w:spacing w:after="0"/>
        <w:jc w:val="both"/>
        <w:rPr>
          <w:rFonts w:ascii="Times New Roman" w:hAnsi="Times New Roman" w:cs="Times New Roman"/>
        </w:rPr>
      </w:pPr>
      <w:r>
        <w:rPr>
          <w:rFonts w:ascii="Times New Roman" w:hAnsi="Times New Roman" w:cs="Times New Roman"/>
        </w:rPr>
        <w:lastRenderedPageBreak/>
        <w:t xml:space="preserve">Another important threat to validity comes from the fact that the period for our study is rather unusual.  The post-onset period overlaps with a time when the labor market has been more favorable to workers, and especially unskilled workers, </w:t>
      </w:r>
      <w:r w:rsidR="00B047ED">
        <w:rPr>
          <w:rFonts w:ascii="Times New Roman" w:hAnsi="Times New Roman" w:cs="Times New Roman"/>
        </w:rPr>
        <w:t xml:space="preserve">than any </w:t>
      </w:r>
      <w:r w:rsidR="00C77F5C">
        <w:rPr>
          <w:rFonts w:ascii="Times New Roman" w:hAnsi="Times New Roman" w:cs="Times New Roman"/>
        </w:rPr>
        <w:t xml:space="preserve">other </w:t>
      </w:r>
      <w:r w:rsidR="00B047ED">
        <w:rPr>
          <w:rFonts w:ascii="Times New Roman" w:hAnsi="Times New Roman" w:cs="Times New Roman"/>
        </w:rPr>
        <w:t>time in over a decade.  This leads to the question whether this a good program or is it the right program for the times?  With job openings outnumbering the unemployed and casual empiricism revealing Help Wanted signs seemingly everywhere, it could easily be the case that Wage Pathways is riding the crest of this job market wave.   Would we see the same results if the program were instituted during the period from 2009-</w:t>
      </w:r>
      <w:r w:rsidR="00D770E8">
        <w:rPr>
          <w:rFonts w:ascii="Times New Roman" w:hAnsi="Times New Roman" w:cs="Times New Roman"/>
        </w:rPr>
        <w:t>2014</w:t>
      </w:r>
      <w:r w:rsidR="00B047ED">
        <w:rPr>
          <w:rFonts w:ascii="Times New Roman" w:hAnsi="Times New Roman" w:cs="Times New Roman"/>
        </w:rPr>
        <w:t xml:space="preserve"> when the recovery was </w:t>
      </w:r>
      <w:r w:rsidR="00C77F5C">
        <w:rPr>
          <w:rFonts w:ascii="Times New Roman" w:hAnsi="Times New Roman" w:cs="Times New Roman"/>
        </w:rPr>
        <w:t xml:space="preserve">weak </w:t>
      </w:r>
      <w:r w:rsidR="00B047ED">
        <w:rPr>
          <w:rFonts w:ascii="Times New Roman" w:hAnsi="Times New Roman" w:cs="Times New Roman"/>
        </w:rPr>
        <w:t xml:space="preserve">and there were many discouraged workers?  We do not and cannot know.  Even if the evidence suggests a successful program </w:t>
      </w:r>
      <w:r w:rsidR="006F442F">
        <w:rPr>
          <w:rFonts w:ascii="Times New Roman" w:hAnsi="Times New Roman" w:cs="Times New Roman"/>
        </w:rPr>
        <w:t>with</w:t>
      </w:r>
      <w:r w:rsidR="00B047ED">
        <w:rPr>
          <w:rFonts w:ascii="Times New Roman" w:hAnsi="Times New Roman" w:cs="Times New Roman"/>
        </w:rPr>
        <w:t xml:space="preserve"> the right features at the right time, </w:t>
      </w:r>
      <w:r w:rsidR="00C77F5C">
        <w:rPr>
          <w:rFonts w:ascii="Times New Roman" w:hAnsi="Times New Roman" w:cs="Times New Roman"/>
        </w:rPr>
        <w:t xml:space="preserve">this </w:t>
      </w:r>
      <w:r w:rsidR="00B047ED">
        <w:rPr>
          <w:rFonts w:ascii="Times New Roman" w:hAnsi="Times New Roman" w:cs="Times New Roman"/>
        </w:rPr>
        <w:t>does not mean the evidence here supports the proposition that this is the right program for disadvantaged youths in all labor market conditions.</w:t>
      </w:r>
    </w:p>
    <w:p w14:paraId="51190763" w14:textId="77777777" w:rsidR="00003079" w:rsidRDefault="00003079" w:rsidP="00AC6265">
      <w:pPr>
        <w:spacing w:after="0"/>
        <w:jc w:val="both"/>
        <w:rPr>
          <w:rFonts w:ascii="Times New Roman" w:hAnsi="Times New Roman" w:cs="Times New Roman"/>
        </w:rPr>
      </w:pPr>
    </w:p>
    <w:p w14:paraId="483D44C5" w14:textId="77777777" w:rsidR="00B047ED" w:rsidRPr="00DD3F84" w:rsidRDefault="00805F88" w:rsidP="00AC6265">
      <w:pPr>
        <w:spacing w:after="0"/>
        <w:jc w:val="both"/>
        <w:rPr>
          <w:rFonts w:ascii="Times New Roman" w:hAnsi="Times New Roman" w:cs="Times New Roman"/>
        </w:rPr>
      </w:pPr>
      <w:r>
        <w:rPr>
          <w:rFonts w:ascii="Times New Roman" w:hAnsi="Times New Roman" w:cs="Times New Roman"/>
        </w:rPr>
        <w:t>We believe the results of the quantitative evaluation are reliable and the program has a positive impact</w:t>
      </w:r>
      <w:r w:rsidR="00902EA9">
        <w:rPr>
          <w:rFonts w:ascii="Times New Roman" w:hAnsi="Times New Roman" w:cs="Times New Roman"/>
        </w:rPr>
        <w:t xml:space="preserve"> that is economically and statistically significant</w:t>
      </w:r>
      <w:r>
        <w:rPr>
          <w:rFonts w:ascii="Times New Roman" w:hAnsi="Times New Roman" w:cs="Times New Roman"/>
        </w:rPr>
        <w:t>.</w:t>
      </w:r>
    </w:p>
    <w:p w14:paraId="7184114E" w14:textId="77777777" w:rsidR="003110C1" w:rsidRPr="00F83E14" w:rsidRDefault="003110C1" w:rsidP="00AC6265">
      <w:pPr>
        <w:pStyle w:val="Heading1"/>
        <w:jc w:val="both"/>
        <w:rPr>
          <w:rFonts w:ascii="Times New Roman" w:hAnsi="Times New Roman" w:cs="Times New Roman"/>
          <w:highlight w:val="yellow"/>
        </w:rPr>
      </w:pPr>
      <w:bookmarkStart w:id="27" w:name="_Toc20468480"/>
      <w:r w:rsidRPr="00F83E14">
        <w:rPr>
          <w:rFonts w:ascii="Times New Roman" w:hAnsi="Times New Roman" w:cs="Times New Roman"/>
          <w:highlight w:val="yellow"/>
        </w:rPr>
        <w:t>Cost Study</w:t>
      </w:r>
      <w:bookmarkEnd w:id="27"/>
    </w:p>
    <w:p w14:paraId="7298D212" w14:textId="7E95563B" w:rsidR="001A6DD2" w:rsidRPr="00F83E14" w:rsidRDefault="001A6DD2" w:rsidP="00AC6265">
      <w:pPr>
        <w:jc w:val="both"/>
        <w:rPr>
          <w:rFonts w:ascii="Times New Roman" w:hAnsi="Times New Roman" w:cs="Times New Roman"/>
          <w:highlight w:val="yellow"/>
        </w:rPr>
      </w:pPr>
      <w:r w:rsidRPr="00F83E14">
        <w:rPr>
          <w:rFonts w:ascii="Times New Roman" w:hAnsi="Times New Roman" w:cs="Times New Roman"/>
          <w:highlight w:val="yellow"/>
        </w:rPr>
        <w:t xml:space="preserve">Project staff received cost data from the sites with costs reported in broad categories.  We did not audit or otherwise verify their reported costs.  Table </w:t>
      </w:r>
      <w:r w:rsidR="004A3E69" w:rsidRPr="00F83E14">
        <w:rPr>
          <w:rFonts w:ascii="Times New Roman" w:hAnsi="Times New Roman" w:cs="Times New Roman"/>
          <w:highlight w:val="yellow"/>
        </w:rPr>
        <w:t>1</w:t>
      </w:r>
      <w:r w:rsidR="002548A7" w:rsidRPr="00F83E14">
        <w:rPr>
          <w:rFonts w:ascii="Times New Roman" w:hAnsi="Times New Roman" w:cs="Times New Roman"/>
          <w:highlight w:val="yellow"/>
        </w:rPr>
        <w:t>3</w:t>
      </w:r>
      <w:r w:rsidR="004A3E69" w:rsidRPr="00F83E14">
        <w:rPr>
          <w:rFonts w:ascii="Times New Roman" w:hAnsi="Times New Roman" w:cs="Times New Roman"/>
          <w:highlight w:val="yellow"/>
        </w:rPr>
        <w:t xml:space="preserve"> </w:t>
      </w:r>
      <w:r w:rsidRPr="00F83E14">
        <w:rPr>
          <w:rFonts w:ascii="Times New Roman" w:hAnsi="Times New Roman" w:cs="Times New Roman"/>
          <w:highlight w:val="yellow"/>
        </w:rPr>
        <w:t xml:space="preserve">reports those costs. </w:t>
      </w:r>
      <w:r w:rsidR="004A3E69" w:rsidRPr="00F83E14">
        <w:rPr>
          <w:rFonts w:ascii="Times New Roman" w:hAnsi="Times New Roman" w:cs="Times New Roman"/>
          <w:highlight w:val="yellow"/>
        </w:rPr>
        <w:t>We do not include space charges in those costs as Wage Pathways did not change aggregate space requirements.</w:t>
      </w:r>
    </w:p>
    <w:p w14:paraId="3F4FD6C5" w14:textId="7DACB3C4" w:rsidR="00752948" w:rsidRPr="00F83E14" w:rsidRDefault="008A7CBD" w:rsidP="00AC6265">
      <w:pPr>
        <w:jc w:val="both"/>
        <w:rPr>
          <w:rFonts w:ascii="Times New Roman" w:hAnsi="Times New Roman" w:cs="Times New Roman"/>
          <w:highlight w:val="yellow"/>
        </w:rPr>
      </w:pPr>
      <w:r w:rsidRPr="00F83E14">
        <w:rPr>
          <w:rFonts w:ascii="Times New Roman" w:hAnsi="Times New Roman" w:cs="Times New Roman"/>
          <w:highlight w:val="yellow"/>
        </w:rPr>
        <w:t xml:space="preserve">When considering the likely costs of a statewide implementation on a continuing basis, we want to </w:t>
      </w:r>
      <w:r w:rsidR="00C33781" w:rsidRPr="00F83E14">
        <w:rPr>
          <w:rFonts w:ascii="Times New Roman" w:hAnsi="Times New Roman" w:cs="Times New Roman"/>
          <w:highlight w:val="yellow"/>
        </w:rPr>
        <w:t>focus on</w:t>
      </w:r>
      <w:r w:rsidRPr="00F83E14">
        <w:rPr>
          <w:rFonts w:ascii="Times New Roman" w:hAnsi="Times New Roman" w:cs="Times New Roman"/>
          <w:highlight w:val="yellow"/>
        </w:rPr>
        <w:t xml:space="preserve"> variable costs that will likely scale u</w:t>
      </w:r>
      <w:r w:rsidR="00F115C7" w:rsidRPr="00F83E14">
        <w:rPr>
          <w:rFonts w:ascii="Times New Roman" w:hAnsi="Times New Roman" w:cs="Times New Roman"/>
          <w:highlight w:val="yellow"/>
        </w:rPr>
        <w:t>p with the number of eligibles</w:t>
      </w:r>
      <w:r w:rsidR="00C33781" w:rsidRPr="00F83E14">
        <w:rPr>
          <w:rFonts w:ascii="Times New Roman" w:hAnsi="Times New Roman" w:cs="Times New Roman"/>
          <w:highlight w:val="yellow"/>
        </w:rPr>
        <w:t>.</w:t>
      </w:r>
      <w:r w:rsidR="00641533" w:rsidRPr="00F83E14">
        <w:rPr>
          <w:rFonts w:ascii="Times New Roman" w:hAnsi="Times New Roman" w:cs="Times New Roman"/>
          <w:highlight w:val="yellow"/>
        </w:rPr>
        <w:t xml:space="preserve">  Incentive payments averaged about $150 per eligible client, reflecting </w:t>
      </w:r>
      <w:r w:rsidR="00C33781" w:rsidRPr="00F83E14">
        <w:rPr>
          <w:rFonts w:ascii="Times New Roman" w:hAnsi="Times New Roman" w:cs="Times New Roman"/>
          <w:highlight w:val="yellow"/>
        </w:rPr>
        <w:t xml:space="preserve">about </w:t>
      </w:r>
      <w:r w:rsidR="009E4391" w:rsidRPr="00F83E14">
        <w:rPr>
          <w:rFonts w:ascii="Times New Roman" w:hAnsi="Times New Roman" w:cs="Times New Roman"/>
          <w:highlight w:val="yellow"/>
        </w:rPr>
        <w:t>20</w:t>
      </w:r>
      <w:r w:rsidR="00C33781" w:rsidRPr="00F83E14">
        <w:rPr>
          <w:rFonts w:ascii="Times New Roman" w:hAnsi="Times New Roman" w:cs="Times New Roman"/>
          <w:highlight w:val="yellow"/>
        </w:rPr>
        <w:t xml:space="preserve">% </w:t>
      </w:r>
      <w:r w:rsidR="00236F16" w:rsidRPr="00F83E14">
        <w:rPr>
          <w:rFonts w:ascii="Times New Roman" w:hAnsi="Times New Roman" w:cs="Times New Roman"/>
          <w:highlight w:val="yellow"/>
        </w:rPr>
        <w:t>of eligibles being judged “work ready” and choosing to participating in WP.</w:t>
      </w:r>
      <w:r w:rsidR="00641533" w:rsidRPr="00F83E14">
        <w:rPr>
          <w:rFonts w:ascii="Times New Roman" w:hAnsi="Times New Roman" w:cs="Times New Roman"/>
          <w:highlight w:val="yellow"/>
        </w:rPr>
        <w:t xml:space="preserve"> </w:t>
      </w:r>
      <w:r w:rsidR="00290369" w:rsidRPr="00F83E14">
        <w:rPr>
          <w:rFonts w:ascii="Times New Roman" w:hAnsi="Times New Roman" w:cs="Times New Roman"/>
          <w:highlight w:val="yellow"/>
        </w:rPr>
        <w:t xml:space="preserve"> </w:t>
      </w:r>
      <w:r w:rsidR="009E4391" w:rsidRPr="00F83E14">
        <w:rPr>
          <w:rFonts w:ascii="Times New Roman" w:hAnsi="Times New Roman" w:cs="Times New Roman"/>
          <w:highlight w:val="yellow"/>
        </w:rPr>
        <w:t xml:space="preserve">The low </w:t>
      </w:r>
      <w:r w:rsidR="00F83E14" w:rsidRPr="00F83E14">
        <w:rPr>
          <w:rFonts w:ascii="Times New Roman" w:hAnsi="Times New Roman" w:cs="Times New Roman"/>
          <w:highlight w:val="yellow"/>
        </w:rPr>
        <w:t xml:space="preserve">faction of </w:t>
      </w:r>
      <w:r w:rsidR="009E4391" w:rsidRPr="00F83E14">
        <w:rPr>
          <w:rFonts w:ascii="Times New Roman" w:hAnsi="Times New Roman" w:cs="Times New Roman"/>
          <w:highlight w:val="yellow"/>
        </w:rPr>
        <w:t xml:space="preserve">eligibles participating </w:t>
      </w:r>
      <w:r w:rsidR="00F83E14" w:rsidRPr="00F83E14">
        <w:rPr>
          <w:rFonts w:ascii="Times New Roman" w:hAnsi="Times New Roman" w:cs="Times New Roman"/>
          <w:highlight w:val="yellow"/>
        </w:rPr>
        <w:t xml:space="preserve">reflects low participation in the late-starting Hamilton County program.  </w:t>
      </w:r>
      <w:r w:rsidR="00290369" w:rsidRPr="00F83E14">
        <w:rPr>
          <w:rFonts w:ascii="Times New Roman" w:hAnsi="Times New Roman" w:cs="Times New Roman"/>
          <w:highlight w:val="yellow"/>
        </w:rPr>
        <w:t xml:space="preserve">We include </w:t>
      </w:r>
      <w:r w:rsidR="00B444A2">
        <w:rPr>
          <w:rFonts w:ascii="Times New Roman" w:hAnsi="Times New Roman" w:cs="Times New Roman"/>
          <w:highlight w:val="yellow"/>
        </w:rPr>
        <w:t>under</w:t>
      </w:r>
      <w:r w:rsidR="00290369" w:rsidRPr="00F83E14">
        <w:rPr>
          <w:rFonts w:ascii="Times New Roman" w:hAnsi="Times New Roman" w:cs="Times New Roman"/>
          <w:highlight w:val="yellow"/>
        </w:rPr>
        <w:t xml:space="preserve"> incentive payments costs counties incurred to provide payments to participants to help them get started working.</w:t>
      </w:r>
      <w:r w:rsidR="00641533" w:rsidRPr="00F83E14">
        <w:rPr>
          <w:rFonts w:ascii="Times New Roman" w:hAnsi="Times New Roman" w:cs="Times New Roman"/>
          <w:highlight w:val="yellow"/>
        </w:rPr>
        <w:t xml:space="preserve"> </w:t>
      </w:r>
    </w:p>
    <w:p w14:paraId="017D8DB6" w14:textId="19C7FD44" w:rsidR="003D3CF2" w:rsidRPr="00F83E14" w:rsidRDefault="00F83E14" w:rsidP="00AC6265">
      <w:pPr>
        <w:jc w:val="both"/>
        <w:rPr>
          <w:rFonts w:ascii="Times New Roman" w:hAnsi="Times New Roman" w:cs="Times New Roman"/>
          <w:highlight w:val="yellow"/>
        </w:rPr>
      </w:pPr>
      <w:r w:rsidRPr="00F83E14">
        <w:rPr>
          <w:rFonts w:ascii="Times New Roman" w:hAnsi="Times New Roman" w:cs="Times New Roman"/>
          <w:highlight w:val="yellow"/>
        </w:rPr>
        <w:t xml:space="preserve">Wage Pathway costs average </w:t>
      </w:r>
      <w:r w:rsidR="00B8140F" w:rsidRPr="00F83E14">
        <w:rPr>
          <w:rFonts w:ascii="Times New Roman" w:hAnsi="Times New Roman" w:cs="Times New Roman"/>
          <w:highlight w:val="yellow"/>
        </w:rPr>
        <w:t>$</w:t>
      </w:r>
      <w:r w:rsidR="00290369" w:rsidRPr="00F83E14">
        <w:rPr>
          <w:rFonts w:ascii="Times New Roman" w:hAnsi="Times New Roman" w:cs="Times New Roman"/>
          <w:highlight w:val="yellow"/>
        </w:rPr>
        <w:t>3</w:t>
      </w:r>
      <w:r w:rsidRPr="00F83E14">
        <w:rPr>
          <w:rFonts w:ascii="Times New Roman" w:hAnsi="Times New Roman" w:cs="Times New Roman"/>
          <w:highlight w:val="yellow"/>
        </w:rPr>
        <w:t>90</w:t>
      </w:r>
      <w:r w:rsidR="00B8140F" w:rsidRPr="00F83E14">
        <w:rPr>
          <w:rFonts w:ascii="Times New Roman" w:hAnsi="Times New Roman" w:cs="Times New Roman"/>
          <w:highlight w:val="yellow"/>
        </w:rPr>
        <w:t xml:space="preserve"> per eligible person</w:t>
      </w:r>
      <w:r w:rsidR="005D3816" w:rsidRPr="00F83E14">
        <w:rPr>
          <w:rFonts w:ascii="Times New Roman" w:hAnsi="Times New Roman" w:cs="Times New Roman"/>
          <w:highlight w:val="yellow"/>
        </w:rPr>
        <w:t xml:space="preserve"> – </w:t>
      </w:r>
      <w:r w:rsidR="00290369" w:rsidRPr="00F83E14">
        <w:rPr>
          <w:rFonts w:ascii="Times New Roman" w:hAnsi="Times New Roman" w:cs="Times New Roman"/>
          <w:highlight w:val="yellow"/>
        </w:rPr>
        <w:t>about $100 less than</w:t>
      </w:r>
      <w:r w:rsidR="005D3816" w:rsidRPr="00F83E14">
        <w:rPr>
          <w:rFonts w:ascii="Times New Roman" w:hAnsi="Times New Roman" w:cs="Times New Roman"/>
          <w:highlight w:val="yellow"/>
        </w:rPr>
        <w:t xml:space="preserve"> the one-year increase in earnings we estimate for Wage Pathways</w:t>
      </w:r>
      <w:r w:rsidR="00290369" w:rsidRPr="00F83E14">
        <w:rPr>
          <w:rFonts w:ascii="Times New Roman" w:hAnsi="Times New Roman" w:cs="Times New Roman"/>
          <w:highlight w:val="yellow"/>
        </w:rPr>
        <w:t xml:space="preserve"> in the northern tier of experimental counties.  ODJFS felt Hamilton County ran the Wage Pathways program very close to ODJFS’ original intention.  </w:t>
      </w:r>
      <w:r w:rsidR="003D3CF2" w:rsidRPr="00F83E14">
        <w:rPr>
          <w:rFonts w:ascii="Times New Roman" w:hAnsi="Times New Roman" w:cs="Times New Roman"/>
          <w:highlight w:val="yellow"/>
        </w:rPr>
        <w:t xml:space="preserve">Cuyahoga and Hamilton counties appear to exhibit scale economies, </w:t>
      </w:r>
      <w:r w:rsidRPr="00F83E14">
        <w:rPr>
          <w:rFonts w:ascii="Times New Roman" w:hAnsi="Times New Roman" w:cs="Times New Roman"/>
          <w:highlight w:val="yellow"/>
        </w:rPr>
        <w:t>relative to the other three counties.</w:t>
      </w:r>
      <w:r w:rsidR="003D3CF2" w:rsidRPr="00F83E14">
        <w:rPr>
          <w:rFonts w:ascii="Times New Roman" w:hAnsi="Times New Roman" w:cs="Times New Roman"/>
          <w:highlight w:val="yellow"/>
        </w:rPr>
        <w:t xml:space="preserve">suggesting a statewide implementation would have favorable cost metrics in other metro areas where CCMEP cases cluster. </w:t>
      </w:r>
    </w:p>
    <w:p w14:paraId="0F14D210" w14:textId="362B3DBF" w:rsidR="001A6DD2" w:rsidRPr="00F83E14" w:rsidRDefault="001A6DD2" w:rsidP="001A6DD2">
      <w:pPr>
        <w:spacing w:after="0"/>
        <w:jc w:val="center"/>
        <w:rPr>
          <w:rFonts w:ascii="Times New Roman" w:hAnsi="Times New Roman" w:cs="Times New Roman"/>
          <w:highlight w:val="yellow"/>
        </w:rPr>
      </w:pPr>
      <w:r w:rsidRPr="00F83E14">
        <w:rPr>
          <w:rFonts w:ascii="Times New Roman" w:hAnsi="Times New Roman" w:cs="Times New Roman"/>
          <w:highlight w:val="yellow"/>
        </w:rPr>
        <w:t xml:space="preserve">Table </w:t>
      </w:r>
      <w:r w:rsidR="009224A2" w:rsidRPr="00F83E14">
        <w:rPr>
          <w:rFonts w:ascii="Times New Roman" w:hAnsi="Times New Roman" w:cs="Times New Roman"/>
          <w:highlight w:val="yellow"/>
        </w:rPr>
        <w:t>1</w:t>
      </w:r>
      <w:r w:rsidR="002548A7" w:rsidRPr="00F83E14">
        <w:rPr>
          <w:rFonts w:ascii="Times New Roman" w:hAnsi="Times New Roman" w:cs="Times New Roman"/>
          <w:highlight w:val="yellow"/>
        </w:rPr>
        <w:t>3</w:t>
      </w:r>
    </w:p>
    <w:p w14:paraId="2CCB6038" w14:textId="77777777" w:rsidR="001A6DD2" w:rsidRPr="00F83E14" w:rsidRDefault="001A6DD2" w:rsidP="001A6DD2">
      <w:pPr>
        <w:spacing w:after="0"/>
        <w:jc w:val="center"/>
        <w:rPr>
          <w:rFonts w:ascii="Times New Roman" w:hAnsi="Times New Roman" w:cs="Times New Roman"/>
          <w:highlight w:val="yellow"/>
        </w:rPr>
      </w:pPr>
      <w:r w:rsidRPr="00F83E14">
        <w:rPr>
          <w:rFonts w:ascii="Times New Roman" w:hAnsi="Times New Roman" w:cs="Times New Roman"/>
          <w:highlight w:val="yellow"/>
        </w:rPr>
        <w:t>Wage Pathways Costs in the Four Experimental Counties</w:t>
      </w:r>
    </w:p>
    <w:tbl>
      <w:tblPr>
        <w:tblW w:w="16671" w:type="dxa"/>
        <w:tblLook w:val="04A0" w:firstRow="1" w:lastRow="0" w:firstColumn="1" w:lastColumn="0" w:noHBand="0" w:noVBand="1"/>
      </w:tblPr>
      <w:tblGrid>
        <w:gridCol w:w="9561"/>
        <w:gridCol w:w="1260"/>
        <w:gridCol w:w="1170"/>
        <w:gridCol w:w="1183"/>
        <w:gridCol w:w="1247"/>
        <w:gridCol w:w="1051"/>
        <w:gridCol w:w="1199"/>
      </w:tblGrid>
      <w:tr w:rsidR="00290369" w:rsidRPr="009E4391" w14:paraId="1618345A" w14:textId="77777777" w:rsidTr="00F83E14">
        <w:trPr>
          <w:trHeight w:val="255"/>
        </w:trPr>
        <w:tc>
          <w:tcPr>
            <w:tcW w:w="9561" w:type="dxa"/>
            <w:tcBorders>
              <w:top w:val="nil"/>
              <w:left w:val="nil"/>
              <w:bottom w:val="nil"/>
              <w:right w:val="nil"/>
            </w:tcBorders>
            <w:shd w:val="clear" w:color="auto" w:fill="auto"/>
            <w:noWrap/>
            <w:vAlign w:val="bottom"/>
          </w:tcPr>
          <w:tbl>
            <w:tblPr>
              <w:tblW w:w="9345" w:type="dxa"/>
              <w:tblLook w:val="04A0" w:firstRow="1" w:lastRow="0" w:firstColumn="1" w:lastColumn="0" w:noHBand="0" w:noVBand="1"/>
            </w:tblPr>
            <w:tblGrid>
              <w:gridCol w:w="2145"/>
              <w:gridCol w:w="1260"/>
              <w:gridCol w:w="1170"/>
              <w:gridCol w:w="1183"/>
              <w:gridCol w:w="1337"/>
              <w:gridCol w:w="990"/>
              <w:gridCol w:w="1260"/>
            </w:tblGrid>
            <w:tr w:rsidR="009E4391" w:rsidRPr="00F83E14" w14:paraId="53ED9839" w14:textId="77777777" w:rsidTr="009E4391">
              <w:trPr>
                <w:trHeight w:val="255"/>
              </w:trPr>
              <w:tc>
                <w:tcPr>
                  <w:tcW w:w="2145" w:type="dxa"/>
                  <w:tcBorders>
                    <w:top w:val="nil"/>
                    <w:left w:val="nil"/>
                    <w:bottom w:val="nil"/>
                    <w:right w:val="nil"/>
                  </w:tcBorders>
                  <w:shd w:val="clear" w:color="auto" w:fill="auto"/>
                  <w:noWrap/>
                  <w:vAlign w:val="bottom"/>
                  <w:hideMark/>
                </w:tcPr>
                <w:p w14:paraId="7CF6628B" w14:textId="77777777" w:rsidR="009E4391" w:rsidRPr="00F83E14" w:rsidRDefault="009E4391" w:rsidP="009E4391">
                  <w:pPr>
                    <w:spacing w:after="0" w:line="240" w:lineRule="auto"/>
                    <w:rPr>
                      <w:rFonts w:ascii="Times New Roman" w:eastAsia="Times New Roman" w:hAnsi="Times New Roman" w:cs="Times New Roman"/>
                      <w:sz w:val="24"/>
                      <w:szCs w:val="24"/>
                      <w:highlight w:val="yellow"/>
                    </w:rPr>
                  </w:pPr>
                </w:p>
              </w:tc>
              <w:tc>
                <w:tcPr>
                  <w:tcW w:w="1260" w:type="dxa"/>
                  <w:tcBorders>
                    <w:top w:val="nil"/>
                    <w:left w:val="nil"/>
                    <w:bottom w:val="nil"/>
                    <w:right w:val="nil"/>
                  </w:tcBorders>
                  <w:shd w:val="clear" w:color="auto" w:fill="auto"/>
                  <w:noWrap/>
                  <w:vAlign w:val="bottom"/>
                  <w:hideMark/>
                </w:tcPr>
                <w:p w14:paraId="132F754C" w14:textId="77777777" w:rsidR="009E4391" w:rsidRPr="00F83E14" w:rsidRDefault="009E4391" w:rsidP="009E4391">
                  <w:pPr>
                    <w:spacing w:after="0" w:line="240" w:lineRule="auto"/>
                    <w:jc w:val="right"/>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Cuyahoga</w:t>
                  </w:r>
                </w:p>
              </w:tc>
              <w:tc>
                <w:tcPr>
                  <w:tcW w:w="1170" w:type="dxa"/>
                  <w:tcBorders>
                    <w:top w:val="nil"/>
                    <w:left w:val="nil"/>
                    <w:bottom w:val="nil"/>
                    <w:right w:val="nil"/>
                  </w:tcBorders>
                  <w:shd w:val="clear" w:color="auto" w:fill="auto"/>
                  <w:noWrap/>
                  <w:vAlign w:val="bottom"/>
                  <w:hideMark/>
                </w:tcPr>
                <w:p w14:paraId="1EB38F65" w14:textId="77777777" w:rsidR="009E4391" w:rsidRPr="00F83E14" w:rsidRDefault="009E4391" w:rsidP="009E4391">
                  <w:pPr>
                    <w:spacing w:after="0" w:line="240" w:lineRule="auto"/>
                    <w:jc w:val="right"/>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Summit</w:t>
                  </w:r>
                </w:p>
              </w:tc>
              <w:tc>
                <w:tcPr>
                  <w:tcW w:w="1183" w:type="dxa"/>
                  <w:tcBorders>
                    <w:top w:val="nil"/>
                    <w:left w:val="nil"/>
                    <w:bottom w:val="nil"/>
                    <w:right w:val="nil"/>
                  </w:tcBorders>
                  <w:shd w:val="clear" w:color="auto" w:fill="auto"/>
                  <w:noWrap/>
                  <w:vAlign w:val="bottom"/>
                  <w:hideMark/>
                </w:tcPr>
                <w:p w14:paraId="6990E4AA" w14:textId="77777777" w:rsidR="009E4391" w:rsidRPr="00F83E14" w:rsidRDefault="009E4391" w:rsidP="009E4391">
                  <w:pPr>
                    <w:spacing w:after="0" w:line="240" w:lineRule="auto"/>
                    <w:jc w:val="right"/>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Ashtabula</w:t>
                  </w:r>
                </w:p>
              </w:tc>
              <w:tc>
                <w:tcPr>
                  <w:tcW w:w="1337" w:type="dxa"/>
                  <w:tcBorders>
                    <w:top w:val="nil"/>
                    <w:left w:val="nil"/>
                    <w:bottom w:val="nil"/>
                    <w:right w:val="nil"/>
                  </w:tcBorders>
                  <w:shd w:val="clear" w:color="auto" w:fill="auto"/>
                  <w:noWrap/>
                  <w:vAlign w:val="bottom"/>
                  <w:hideMark/>
                </w:tcPr>
                <w:p w14:paraId="76A138D4" w14:textId="77777777" w:rsidR="009E4391" w:rsidRPr="00F83E14" w:rsidRDefault="009E4391" w:rsidP="009E4391">
                  <w:pPr>
                    <w:spacing w:after="0" w:line="240" w:lineRule="auto"/>
                    <w:jc w:val="right"/>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Hamilton</w:t>
                  </w:r>
                </w:p>
              </w:tc>
              <w:tc>
                <w:tcPr>
                  <w:tcW w:w="990" w:type="dxa"/>
                  <w:tcBorders>
                    <w:top w:val="nil"/>
                    <w:left w:val="nil"/>
                    <w:bottom w:val="nil"/>
                    <w:right w:val="nil"/>
                  </w:tcBorders>
                  <w:shd w:val="clear" w:color="auto" w:fill="auto"/>
                  <w:noWrap/>
                  <w:vAlign w:val="bottom"/>
                  <w:hideMark/>
                </w:tcPr>
                <w:p w14:paraId="220E0C83" w14:textId="77777777" w:rsidR="009E4391" w:rsidRPr="00F83E14" w:rsidRDefault="009E4391" w:rsidP="009E4391">
                  <w:pPr>
                    <w:spacing w:after="0" w:line="240" w:lineRule="auto"/>
                    <w:jc w:val="right"/>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Ottawa</w:t>
                  </w:r>
                </w:p>
              </w:tc>
              <w:tc>
                <w:tcPr>
                  <w:tcW w:w="1260" w:type="dxa"/>
                  <w:tcBorders>
                    <w:top w:val="nil"/>
                    <w:left w:val="nil"/>
                    <w:bottom w:val="nil"/>
                    <w:right w:val="nil"/>
                  </w:tcBorders>
                  <w:shd w:val="clear" w:color="auto" w:fill="auto"/>
                  <w:noWrap/>
                  <w:vAlign w:val="bottom"/>
                  <w:hideMark/>
                </w:tcPr>
                <w:p w14:paraId="1002BBDC" w14:textId="77777777" w:rsidR="009E4391" w:rsidRPr="00F83E14" w:rsidRDefault="009E4391" w:rsidP="009E4391">
                  <w:pPr>
                    <w:spacing w:after="0" w:line="240" w:lineRule="auto"/>
                    <w:jc w:val="right"/>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Total</w:t>
                  </w:r>
                </w:p>
              </w:tc>
            </w:tr>
            <w:tr w:rsidR="009E4391" w:rsidRPr="00F83E14" w14:paraId="75AEE682" w14:textId="77777777" w:rsidTr="009E4391">
              <w:trPr>
                <w:trHeight w:val="255"/>
              </w:trPr>
              <w:tc>
                <w:tcPr>
                  <w:tcW w:w="2145" w:type="dxa"/>
                  <w:tcBorders>
                    <w:top w:val="nil"/>
                    <w:left w:val="nil"/>
                    <w:bottom w:val="nil"/>
                    <w:right w:val="nil"/>
                  </w:tcBorders>
                  <w:shd w:val="clear" w:color="auto" w:fill="auto"/>
                  <w:noWrap/>
                  <w:vAlign w:val="bottom"/>
                  <w:hideMark/>
                </w:tcPr>
                <w:p w14:paraId="5CF5B07A" w14:textId="77777777" w:rsidR="009E4391" w:rsidRPr="00F83E14" w:rsidRDefault="009E4391" w:rsidP="009E4391">
                  <w:pPr>
                    <w:spacing w:after="0" w:line="240" w:lineRule="auto"/>
                    <w:rPr>
                      <w:rFonts w:ascii="Arial" w:eastAsia="Times New Roman" w:hAnsi="Arial" w:cs="Arial"/>
                      <w:sz w:val="20"/>
                      <w:szCs w:val="20"/>
                      <w:highlight w:val="yellow"/>
                    </w:rPr>
                  </w:pPr>
                  <w:r w:rsidRPr="00F83E14">
                    <w:rPr>
                      <w:rFonts w:ascii="Arial" w:eastAsia="Times New Roman" w:hAnsi="Arial" w:cs="Arial"/>
                      <w:sz w:val="20"/>
                      <w:szCs w:val="20"/>
                      <w:highlight w:val="yellow"/>
                    </w:rPr>
                    <w:t>Incentive Payments</w:t>
                  </w:r>
                </w:p>
              </w:tc>
              <w:tc>
                <w:tcPr>
                  <w:tcW w:w="1260" w:type="dxa"/>
                  <w:tcBorders>
                    <w:top w:val="nil"/>
                    <w:left w:val="nil"/>
                    <w:bottom w:val="nil"/>
                    <w:right w:val="nil"/>
                  </w:tcBorders>
                  <w:shd w:val="clear" w:color="auto" w:fill="auto"/>
                  <w:noWrap/>
                  <w:vAlign w:val="bottom"/>
                  <w:hideMark/>
                </w:tcPr>
                <w:p w14:paraId="58801621"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$303,555</w:t>
                  </w:r>
                </w:p>
              </w:tc>
              <w:tc>
                <w:tcPr>
                  <w:tcW w:w="1170" w:type="dxa"/>
                  <w:tcBorders>
                    <w:top w:val="nil"/>
                    <w:left w:val="nil"/>
                    <w:bottom w:val="nil"/>
                    <w:right w:val="nil"/>
                  </w:tcBorders>
                  <w:shd w:val="clear" w:color="auto" w:fill="auto"/>
                  <w:noWrap/>
                  <w:vAlign w:val="bottom"/>
                  <w:hideMark/>
                </w:tcPr>
                <w:p w14:paraId="44DDD9B6"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$25,000</w:t>
                  </w:r>
                </w:p>
              </w:tc>
              <w:tc>
                <w:tcPr>
                  <w:tcW w:w="1183" w:type="dxa"/>
                  <w:tcBorders>
                    <w:top w:val="nil"/>
                    <w:left w:val="nil"/>
                    <w:bottom w:val="nil"/>
                    <w:right w:val="nil"/>
                  </w:tcBorders>
                  <w:shd w:val="clear" w:color="auto" w:fill="auto"/>
                  <w:noWrap/>
                  <w:vAlign w:val="bottom"/>
                  <w:hideMark/>
                </w:tcPr>
                <w:p w14:paraId="0DF60046"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$100,000</w:t>
                  </w:r>
                </w:p>
              </w:tc>
              <w:tc>
                <w:tcPr>
                  <w:tcW w:w="1337" w:type="dxa"/>
                  <w:tcBorders>
                    <w:top w:val="nil"/>
                    <w:left w:val="nil"/>
                    <w:bottom w:val="nil"/>
                    <w:right w:val="nil"/>
                  </w:tcBorders>
                  <w:shd w:val="clear" w:color="auto" w:fill="auto"/>
                  <w:noWrap/>
                  <w:vAlign w:val="bottom"/>
                  <w:hideMark/>
                </w:tcPr>
                <w:p w14:paraId="31753926"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$219,812</w:t>
                  </w:r>
                </w:p>
              </w:tc>
              <w:tc>
                <w:tcPr>
                  <w:tcW w:w="990" w:type="dxa"/>
                  <w:tcBorders>
                    <w:top w:val="nil"/>
                    <w:left w:val="nil"/>
                    <w:bottom w:val="nil"/>
                    <w:right w:val="nil"/>
                  </w:tcBorders>
                  <w:shd w:val="clear" w:color="auto" w:fill="auto"/>
                  <w:noWrap/>
                  <w:vAlign w:val="bottom"/>
                  <w:hideMark/>
                </w:tcPr>
                <w:p w14:paraId="791E37B9"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$9,000</w:t>
                  </w:r>
                </w:p>
              </w:tc>
              <w:tc>
                <w:tcPr>
                  <w:tcW w:w="1260" w:type="dxa"/>
                  <w:tcBorders>
                    <w:top w:val="nil"/>
                    <w:left w:val="nil"/>
                    <w:bottom w:val="nil"/>
                    <w:right w:val="nil"/>
                  </w:tcBorders>
                  <w:shd w:val="clear" w:color="auto" w:fill="auto"/>
                  <w:noWrap/>
                  <w:vAlign w:val="bottom"/>
                  <w:hideMark/>
                </w:tcPr>
                <w:p w14:paraId="174CBB01"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$657,367</w:t>
                  </w:r>
                </w:p>
              </w:tc>
            </w:tr>
            <w:tr w:rsidR="009E4391" w:rsidRPr="00F83E14" w14:paraId="6C0873E3" w14:textId="77777777" w:rsidTr="009E4391">
              <w:trPr>
                <w:trHeight w:val="255"/>
              </w:trPr>
              <w:tc>
                <w:tcPr>
                  <w:tcW w:w="2145" w:type="dxa"/>
                  <w:tcBorders>
                    <w:top w:val="nil"/>
                    <w:left w:val="nil"/>
                    <w:bottom w:val="nil"/>
                    <w:right w:val="nil"/>
                  </w:tcBorders>
                  <w:shd w:val="clear" w:color="auto" w:fill="auto"/>
                  <w:noWrap/>
                  <w:vAlign w:val="bottom"/>
                  <w:hideMark/>
                </w:tcPr>
                <w:p w14:paraId="51CDFE90" w14:textId="77777777" w:rsidR="009E4391" w:rsidRPr="00F83E14" w:rsidRDefault="009E4391" w:rsidP="009E4391">
                  <w:pPr>
                    <w:spacing w:after="0" w:line="240" w:lineRule="auto"/>
                    <w:rPr>
                      <w:rFonts w:ascii="Arial" w:eastAsia="Times New Roman" w:hAnsi="Arial" w:cs="Arial"/>
                      <w:sz w:val="20"/>
                      <w:szCs w:val="20"/>
                      <w:highlight w:val="yellow"/>
                    </w:rPr>
                  </w:pPr>
                  <w:r w:rsidRPr="00F83E14">
                    <w:rPr>
                      <w:rFonts w:ascii="Arial" w:eastAsia="Times New Roman" w:hAnsi="Arial" w:cs="Arial"/>
                      <w:sz w:val="20"/>
                      <w:szCs w:val="20"/>
                      <w:highlight w:val="yellow"/>
                    </w:rPr>
                    <w:t>Personnel-Admin</w:t>
                  </w:r>
                </w:p>
              </w:tc>
              <w:tc>
                <w:tcPr>
                  <w:tcW w:w="1260" w:type="dxa"/>
                  <w:tcBorders>
                    <w:top w:val="nil"/>
                    <w:left w:val="nil"/>
                    <w:bottom w:val="nil"/>
                    <w:right w:val="nil"/>
                  </w:tcBorders>
                  <w:shd w:val="clear" w:color="auto" w:fill="auto"/>
                  <w:noWrap/>
                  <w:vAlign w:val="bottom"/>
                  <w:hideMark/>
                </w:tcPr>
                <w:p w14:paraId="66ABC588"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$82,500</w:t>
                  </w:r>
                </w:p>
              </w:tc>
              <w:tc>
                <w:tcPr>
                  <w:tcW w:w="1170" w:type="dxa"/>
                  <w:tcBorders>
                    <w:top w:val="nil"/>
                    <w:left w:val="nil"/>
                    <w:bottom w:val="nil"/>
                    <w:right w:val="nil"/>
                  </w:tcBorders>
                  <w:shd w:val="clear" w:color="auto" w:fill="auto"/>
                  <w:noWrap/>
                  <w:vAlign w:val="bottom"/>
                  <w:hideMark/>
                </w:tcPr>
                <w:p w14:paraId="66C5EFD6"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$134,496</w:t>
                  </w:r>
                </w:p>
              </w:tc>
              <w:tc>
                <w:tcPr>
                  <w:tcW w:w="1183" w:type="dxa"/>
                  <w:tcBorders>
                    <w:top w:val="nil"/>
                    <w:left w:val="nil"/>
                    <w:bottom w:val="nil"/>
                    <w:right w:val="nil"/>
                  </w:tcBorders>
                  <w:shd w:val="clear" w:color="auto" w:fill="auto"/>
                  <w:noWrap/>
                  <w:vAlign w:val="bottom"/>
                  <w:hideMark/>
                </w:tcPr>
                <w:p w14:paraId="528EC121"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$1,035</w:t>
                  </w:r>
                </w:p>
              </w:tc>
              <w:tc>
                <w:tcPr>
                  <w:tcW w:w="1337" w:type="dxa"/>
                  <w:tcBorders>
                    <w:top w:val="nil"/>
                    <w:left w:val="nil"/>
                    <w:bottom w:val="nil"/>
                    <w:right w:val="nil"/>
                  </w:tcBorders>
                  <w:shd w:val="clear" w:color="auto" w:fill="auto"/>
                  <w:noWrap/>
                  <w:vAlign w:val="bottom"/>
                  <w:hideMark/>
                </w:tcPr>
                <w:p w14:paraId="4993E767"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$27,606</w:t>
                  </w:r>
                </w:p>
              </w:tc>
              <w:tc>
                <w:tcPr>
                  <w:tcW w:w="990" w:type="dxa"/>
                  <w:tcBorders>
                    <w:top w:val="nil"/>
                    <w:left w:val="nil"/>
                    <w:bottom w:val="nil"/>
                    <w:right w:val="nil"/>
                  </w:tcBorders>
                  <w:shd w:val="clear" w:color="auto" w:fill="auto"/>
                  <w:noWrap/>
                  <w:vAlign w:val="bottom"/>
                  <w:hideMark/>
                </w:tcPr>
                <w:p w14:paraId="4A214125"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$0</w:t>
                  </w:r>
                </w:p>
              </w:tc>
              <w:tc>
                <w:tcPr>
                  <w:tcW w:w="1260" w:type="dxa"/>
                  <w:tcBorders>
                    <w:top w:val="nil"/>
                    <w:left w:val="nil"/>
                    <w:bottom w:val="nil"/>
                    <w:right w:val="nil"/>
                  </w:tcBorders>
                  <w:shd w:val="clear" w:color="auto" w:fill="auto"/>
                  <w:noWrap/>
                  <w:vAlign w:val="bottom"/>
                  <w:hideMark/>
                </w:tcPr>
                <w:p w14:paraId="78CD0367"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$245,637</w:t>
                  </w:r>
                </w:p>
              </w:tc>
            </w:tr>
            <w:tr w:rsidR="009E4391" w:rsidRPr="00F83E14" w14:paraId="1AB09A0B" w14:textId="77777777" w:rsidTr="009E4391">
              <w:trPr>
                <w:trHeight w:val="255"/>
              </w:trPr>
              <w:tc>
                <w:tcPr>
                  <w:tcW w:w="2145" w:type="dxa"/>
                  <w:tcBorders>
                    <w:top w:val="nil"/>
                    <w:left w:val="nil"/>
                    <w:bottom w:val="nil"/>
                    <w:right w:val="nil"/>
                  </w:tcBorders>
                  <w:shd w:val="clear" w:color="auto" w:fill="auto"/>
                  <w:noWrap/>
                  <w:vAlign w:val="bottom"/>
                  <w:hideMark/>
                </w:tcPr>
                <w:p w14:paraId="1B52B3D8" w14:textId="77777777" w:rsidR="009E4391" w:rsidRPr="00F83E14" w:rsidRDefault="009E4391" w:rsidP="009E4391">
                  <w:pPr>
                    <w:spacing w:after="0" w:line="240" w:lineRule="auto"/>
                    <w:rPr>
                      <w:rFonts w:ascii="Arial" w:eastAsia="Times New Roman" w:hAnsi="Arial" w:cs="Arial"/>
                      <w:sz w:val="20"/>
                      <w:szCs w:val="20"/>
                      <w:highlight w:val="yellow"/>
                    </w:rPr>
                  </w:pPr>
                  <w:r w:rsidRPr="00F83E14">
                    <w:rPr>
                      <w:rFonts w:ascii="Arial" w:eastAsia="Times New Roman" w:hAnsi="Arial" w:cs="Arial"/>
                      <w:sz w:val="20"/>
                      <w:szCs w:val="20"/>
                      <w:highlight w:val="yellow"/>
                    </w:rPr>
                    <w:t>sub-awards</w:t>
                  </w:r>
                </w:p>
              </w:tc>
              <w:tc>
                <w:tcPr>
                  <w:tcW w:w="1260" w:type="dxa"/>
                  <w:tcBorders>
                    <w:top w:val="nil"/>
                    <w:left w:val="nil"/>
                    <w:bottom w:val="nil"/>
                    <w:right w:val="nil"/>
                  </w:tcBorders>
                  <w:shd w:val="clear" w:color="auto" w:fill="auto"/>
                  <w:noWrap/>
                  <w:vAlign w:val="bottom"/>
                  <w:hideMark/>
                </w:tcPr>
                <w:p w14:paraId="4ECA19FE"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$326,425</w:t>
                  </w:r>
                </w:p>
              </w:tc>
              <w:tc>
                <w:tcPr>
                  <w:tcW w:w="1170" w:type="dxa"/>
                  <w:tcBorders>
                    <w:top w:val="nil"/>
                    <w:left w:val="nil"/>
                    <w:bottom w:val="nil"/>
                    <w:right w:val="nil"/>
                  </w:tcBorders>
                  <w:shd w:val="clear" w:color="auto" w:fill="auto"/>
                  <w:noWrap/>
                  <w:vAlign w:val="bottom"/>
                  <w:hideMark/>
                </w:tcPr>
                <w:p w14:paraId="3A540BC7"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$0</w:t>
                  </w:r>
                </w:p>
              </w:tc>
              <w:tc>
                <w:tcPr>
                  <w:tcW w:w="1183" w:type="dxa"/>
                  <w:tcBorders>
                    <w:top w:val="nil"/>
                    <w:left w:val="nil"/>
                    <w:bottom w:val="nil"/>
                    <w:right w:val="nil"/>
                  </w:tcBorders>
                  <w:shd w:val="clear" w:color="auto" w:fill="auto"/>
                  <w:noWrap/>
                  <w:vAlign w:val="bottom"/>
                  <w:hideMark/>
                </w:tcPr>
                <w:p w14:paraId="4554975A"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$350,000</w:t>
                  </w:r>
                </w:p>
              </w:tc>
              <w:tc>
                <w:tcPr>
                  <w:tcW w:w="1337" w:type="dxa"/>
                  <w:tcBorders>
                    <w:top w:val="nil"/>
                    <w:left w:val="nil"/>
                    <w:bottom w:val="nil"/>
                    <w:right w:val="nil"/>
                  </w:tcBorders>
                  <w:shd w:val="clear" w:color="auto" w:fill="auto"/>
                  <w:noWrap/>
                  <w:vAlign w:val="bottom"/>
                  <w:hideMark/>
                </w:tcPr>
                <w:p w14:paraId="593F2B2A"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$170,650</w:t>
                  </w:r>
                </w:p>
              </w:tc>
              <w:tc>
                <w:tcPr>
                  <w:tcW w:w="990" w:type="dxa"/>
                  <w:tcBorders>
                    <w:top w:val="nil"/>
                    <w:left w:val="nil"/>
                    <w:bottom w:val="nil"/>
                    <w:right w:val="nil"/>
                  </w:tcBorders>
                  <w:shd w:val="clear" w:color="auto" w:fill="auto"/>
                  <w:noWrap/>
                  <w:vAlign w:val="bottom"/>
                  <w:hideMark/>
                </w:tcPr>
                <w:p w14:paraId="6767D16F"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$35,000</w:t>
                  </w:r>
                </w:p>
              </w:tc>
              <w:tc>
                <w:tcPr>
                  <w:tcW w:w="1260" w:type="dxa"/>
                  <w:tcBorders>
                    <w:top w:val="nil"/>
                    <w:left w:val="nil"/>
                    <w:bottom w:val="nil"/>
                    <w:right w:val="nil"/>
                  </w:tcBorders>
                  <w:shd w:val="clear" w:color="auto" w:fill="auto"/>
                  <w:noWrap/>
                  <w:vAlign w:val="bottom"/>
                  <w:hideMark/>
                </w:tcPr>
                <w:p w14:paraId="14DA6DBD"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$882,075</w:t>
                  </w:r>
                </w:p>
              </w:tc>
            </w:tr>
            <w:tr w:rsidR="009E4391" w:rsidRPr="00F83E14" w14:paraId="316F2AF7" w14:textId="77777777" w:rsidTr="009E4391">
              <w:trPr>
                <w:trHeight w:val="255"/>
              </w:trPr>
              <w:tc>
                <w:tcPr>
                  <w:tcW w:w="2145" w:type="dxa"/>
                  <w:tcBorders>
                    <w:top w:val="nil"/>
                    <w:left w:val="nil"/>
                    <w:bottom w:val="nil"/>
                    <w:right w:val="nil"/>
                  </w:tcBorders>
                  <w:shd w:val="clear" w:color="auto" w:fill="auto"/>
                  <w:noWrap/>
                  <w:vAlign w:val="bottom"/>
                  <w:hideMark/>
                </w:tcPr>
                <w:p w14:paraId="04125C2F" w14:textId="77777777" w:rsidR="009E4391" w:rsidRPr="00F83E14" w:rsidRDefault="009E4391" w:rsidP="009E4391">
                  <w:pPr>
                    <w:spacing w:after="0" w:line="240" w:lineRule="auto"/>
                    <w:rPr>
                      <w:rFonts w:ascii="Arial" w:eastAsia="Times New Roman" w:hAnsi="Arial" w:cs="Arial"/>
                      <w:sz w:val="20"/>
                      <w:szCs w:val="20"/>
                      <w:highlight w:val="yellow"/>
                    </w:rPr>
                  </w:pPr>
                  <w:r w:rsidRPr="00F83E14">
                    <w:rPr>
                      <w:rFonts w:ascii="Arial" w:eastAsia="Times New Roman" w:hAnsi="Arial" w:cs="Arial"/>
                      <w:sz w:val="20"/>
                      <w:szCs w:val="20"/>
                      <w:highlight w:val="yellow"/>
                    </w:rPr>
                    <w:t>Misc. costs</w:t>
                  </w:r>
                </w:p>
              </w:tc>
              <w:tc>
                <w:tcPr>
                  <w:tcW w:w="1260" w:type="dxa"/>
                  <w:tcBorders>
                    <w:top w:val="nil"/>
                    <w:left w:val="nil"/>
                    <w:bottom w:val="nil"/>
                    <w:right w:val="nil"/>
                  </w:tcBorders>
                  <w:shd w:val="clear" w:color="auto" w:fill="auto"/>
                  <w:noWrap/>
                  <w:vAlign w:val="bottom"/>
                  <w:hideMark/>
                </w:tcPr>
                <w:p w14:paraId="4F6735CA"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$0</w:t>
                  </w:r>
                </w:p>
              </w:tc>
              <w:tc>
                <w:tcPr>
                  <w:tcW w:w="1170" w:type="dxa"/>
                  <w:tcBorders>
                    <w:top w:val="nil"/>
                    <w:left w:val="nil"/>
                    <w:bottom w:val="nil"/>
                    <w:right w:val="nil"/>
                  </w:tcBorders>
                  <w:shd w:val="clear" w:color="auto" w:fill="auto"/>
                  <w:noWrap/>
                  <w:vAlign w:val="bottom"/>
                  <w:hideMark/>
                </w:tcPr>
                <w:p w14:paraId="4587617F"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$0</w:t>
                  </w:r>
                </w:p>
              </w:tc>
              <w:tc>
                <w:tcPr>
                  <w:tcW w:w="1183" w:type="dxa"/>
                  <w:tcBorders>
                    <w:top w:val="nil"/>
                    <w:left w:val="nil"/>
                    <w:bottom w:val="nil"/>
                    <w:right w:val="nil"/>
                  </w:tcBorders>
                  <w:shd w:val="clear" w:color="auto" w:fill="auto"/>
                  <w:noWrap/>
                  <w:vAlign w:val="bottom"/>
                  <w:hideMark/>
                </w:tcPr>
                <w:p w14:paraId="75B41A2D"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$20,000</w:t>
                  </w:r>
                </w:p>
              </w:tc>
              <w:tc>
                <w:tcPr>
                  <w:tcW w:w="1337" w:type="dxa"/>
                  <w:tcBorders>
                    <w:top w:val="nil"/>
                    <w:left w:val="nil"/>
                    <w:bottom w:val="nil"/>
                    <w:right w:val="nil"/>
                  </w:tcBorders>
                  <w:shd w:val="clear" w:color="auto" w:fill="auto"/>
                  <w:noWrap/>
                  <w:vAlign w:val="bottom"/>
                  <w:hideMark/>
                </w:tcPr>
                <w:p w14:paraId="195D36C6"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$0</w:t>
                  </w:r>
                </w:p>
              </w:tc>
              <w:tc>
                <w:tcPr>
                  <w:tcW w:w="990" w:type="dxa"/>
                  <w:tcBorders>
                    <w:top w:val="nil"/>
                    <w:left w:val="nil"/>
                    <w:bottom w:val="nil"/>
                    <w:right w:val="nil"/>
                  </w:tcBorders>
                  <w:shd w:val="clear" w:color="auto" w:fill="auto"/>
                  <w:noWrap/>
                  <w:vAlign w:val="bottom"/>
                  <w:hideMark/>
                </w:tcPr>
                <w:p w14:paraId="280AF850"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$0</w:t>
                  </w:r>
                </w:p>
              </w:tc>
              <w:tc>
                <w:tcPr>
                  <w:tcW w:w="1260" w:type="dxa"/>
                  <w:tcBorders>
                    <w:top w:val="nil"/>
                    <w:left w:val="nil"/>
                    <w:bottom w:val="nil"/>
                    <w:right w:val="nil"/>
                  </w:tcBorders>
                  <w:shd w:val="clear" w:color="auto" w:fill="auto"/>
                  <w:noWrap/>
                  <w:vAlign w:val="bottom"/>
                  <w:hideMark/>
                </w:tcPr>
                <w:p w14:paraId="47E4D93F"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$20,000</w:t>
                  </w:r>
                </w:p>
              </w:tc>
            </w:tr>
            <w:tr w:rsidR="009E4391" w:rsidRPr="00F83E14" w14:paraId="1F179E48" w14:textId="77777777" w:rsidTr="009E4391">
              <w:trPr>
                <w:trHeight w:val="255"/>
              </w:trPr>
              <w:tc>
                <w:tcPr>
                  <w:tcW w:w="2145" w:type="dxa"/>
                  <w:tcBorders>
                    <w:top w:val="nil"/>
                    <w:left w:val="nil"/>
                    <w:bottom w:val="nil"/>
                    <w:right w:val="nil"/>
                  </w:tcBorders>
                  <w:shd w:val="clear" w:color="auto" w:fill="auto"/>
                  <w:noWrap/>
                  <w:vAlign w:val="bottom"/>
                  <w:hideMark/>
                </w:tcPr>
                <w:p w14:paraId="10D020D9" w14:textId="77777777" w:rsidR="009E4391" w:rsidRPr="00F83E14" w:rsidRDefault="009E4391" w:rsidP="009E4391">
                  <w:pPr>
                    <w:spacing w:after="0" w:line="240" w:lineRule="auto"/>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Total</w:t>
                  </w:r>
                </w:p>
              </w:tc>
              <w:tc>
                <w:tcPr>
                  <w:tcW w:w="1260" w:type="dxa"/>
                  <w:tcBorders>
                    <w:top w:val="nil"/>
                    <w:left w:val="nil"/>
                    <w:bottom w:val="nil"/>
                    <w:right w:val="nil"/>
                  </w:tcBorders>
                  <w:shd w:val="clear" w:color="auto" w:fill="auto"/>
                  <w:noWrap/>
                  <w:vAlign w:val="bottom"/>
                  <w:hideMark/>
                </w:tcPr>
                <w:p w14:paraId="1B88D384"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$712,480</w:t>
                  </w:r>
                </w:p>
              </w:tc>
              <w:tc>
                <w:tcPr>
                  <w:tcW w:w="1170" w:type="dxa"/>
                  <w:tcBorders>
                    <w:top w:val="nil"/>
                    <w:left w:val="nil"/>
                    <w:bottom w:val="nil"/>
                    <w:right w:val="nil"/>
                  </w:tcBorders>
                  <w:shd w:val="clear" w:color="auto" w:fill="auto"/>
                  <w:noWrap/>
                  <w:vAlign w:val="bottom"/>
                  <w:hideMark/>
                </w:tcPr>
                <w:p w14:paraId="6B2728A5"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$159,496</w:t>
                  </w:r>
                </w:p>
              </w:tc>
              <w:tc>
                <w:tcPr>
                  <w:tcW w:w="1183" w:type="dxa"/>
                  <w:tcBorders>
                    <w:top w:val="nil"/>
                    <w:left w:val="nil"/>
                    <w:bottom w:val="nil"/>
                    <w:right w:val="nil"/>
                  </w:tcBorders>
                  <w:shd w:val="clear" w:color="auto" w:fill="auto"/>
                  <w:noWrap/>
                  <w:vAlign w:val="bottom"/>
                  <w:hideMark/>
                </w:tcPr>
                <w:p w14:paraId="584F3CE6"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$471,035</w:t>
                  </w:r>
                </w:p>
              </w:tc>
              <w:tc>
                <w:tcPr>
                  <w:tcW w:w="1337" w:type="dxa"/>
                  <w:tcBorders>
                    <w:top w:val="nil"/>
                    <w:left w:val="nil"/>
                    <w:bottom w:val="nil"/>
                    <w:right w:val="nil"/>
                  </w:tcBorders>
                  <w:shd w:val="clear" w:color="auto" w:fill="auto"/>
                  <w:noWrap/>
                  <w:vAlign w:val="bottom"/>
                  <w:hideMark/>
                </w:tcPr>
                <w:p w14:paraId="72E0203D"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$418,068</w:t>
                  </w:r>
                </w:p>
              </w:tc>
              <w:tc>
                <w:tcPr>
                  <w:tcW w:w="990" w:type="dxa"/>
                  <w:tcBorders>
                    <w:top w:val="nil"/>
                    <w:left w:val="nil"/>
                    <w:bottom w:val="nil"/>
                    <w:right w:val="nil"/>
                  </w:tcBorders>
                  <w:shd w:val="clear" w:color="auto" w:fill="auto"/>
                  <w:noWrap/>
                  <w:vAlign w:val="bottom"/>
                  <w:hideMark/>
                </w:tcPr>
                <w:p w14:paraId="1B41B874"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$44,000</w:t>
                  </w:r>
                </w:p>
              </w:tc>
              <w:tc>
                <w:tcPr>
                  <w:tcW w:w="1260" w:type="dxa"/>
                  <w:tcBorders>
                    <w:top w:val="nil"/>
                    <w:left w:val="nil"/>
                    <w:bottom w:val="nil"/>
                    <w:right w:val="nil"/>
                  </w:tcBorders>
                  <w:shd w:val="clear" w:color="auto" w:fill="auto"/>
                  <w:noWrap/>
                  <w:vAlign w:val="bottom"/>
                  <w:hideMark/>
                </w:tcPr>
                <w:p w14:paraId="434DEA05"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$1,805,079</w:t>
                  </w:r>
                </w:p>
              </w:tc>
            </w:tr>
            <w:tr w:rsidR="009E4391" w:rsidRPr="00F83E14" w14:paraId="6FC5D096" w14:textId="77777777" w:rsidTr="009E4391">
              <w:trPr>
                <w:trHeight w:val="255"/>
              </w:trPr>
              <w:tc>
                <w:tcPr>
                  <w:tcW w:w="2145" w:type="dxa"/>
                  <w:tcBorders>
                    <w:top w:val="nil"/>
                    <w:left w:val="nil"/>
                    <w:bottom w:val="nil"/>
                    <w:right w:val="nil"/>
                  </w:tcBorders>
                  <w:shd w:val="clear" w:color="auto" w:fill="auto"/>
                  <w:noWrap/>
                  <w:vAlign w:val="bottom"/>
                  <w:hideMark/>
                </w:tcPr>
                <w:p w14:paraId="681FE92D" w14:textId="77777777" w:rsidR="009E4391" w:rsidRPr="00F83E14" w:rsidRDefault="009E4391" w:rsidP="009E4391">
                  <w:pPr>
                    <w:spacing w:after="0" w:line="240" w:lineRule="auto"/>
                    <w:rPr>
                      <w:rFonts w:ascii="Arial" w:eastAsia="Times New Roman" w:hAnsi="Arial" w:cs="Arial"/>
                      <w:sz w:val="20"/>
                      <w:szCs w:val="20"/>
                      <w:highlight w:val="yellow"/>
                    </w:rPr>
                  </w:pPr>
                  <w:r w:rsidRPr="00F83E14">
                    <w:rPr>
                      <w:rFonts w:ascii="Arial" w:eastAsia="Times New Roman" w:hAnsi="Arial" w:cs="Arial"/>
                      <w:sz w:val="20"/>
                      <w:szCs w:val="20"/>
                      <w:highlight w:val="yellow"/>
                    </w:rPr>
                    <w:t>Eligibles</w:t>
                  </w:r>
                </w:p>
              </w:tc>
              <w:tc>
                <w:tcPr>
                  <w:tcW w:w="1260" w:type="dxa"/>
                  <w:tcBorders>
                    <w:top w:val="nil"/>
                    <w:left w:val="nil"/>
                    <w:bottom w:val="nil"/>
                    <w:right w:val="nil"/>
                  </w:tcBorders>
                  <w:shd w:val="clear" w:color="auto" w:fill="auto"/>
                  <w:noWrap/>
                  <w:vAlign w:val="bottom"/>
                  <w:hideMark/>
                </w:tcPr>
                <w:p w14:paraId="2B4145F4"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2283</w:t>
                  </w:r>
                </w:p>
              </w:tc>
              <w:tc>
                <w:tcPr>
                  <w:tcW w:w="1170" w:type="dxa"/>
                  <w:tcBorders>
                    <w:top w:val="nil"/>
                    <w:left w:val="nil"/>
                    <w:bottom w:val="nil"/>
                    <w:right w:val="nil"/>
                  </w:tcBorders>
                  <w:shd w:val="clear" w:color="auto" w:fill="auto"/>
                  <w:noWrap/>
                  <w:vAlign w:val="bottom"/>
                  <w:hideMark/>
                </w:tcPr>
                <w:p w14:paraId="02257CFB"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323</w:t>
                  </w:r>
                </w:p>
              </w:tc>
              <w:tc>
                <w:tcPr>
                  <w:tcW w:w="1183" w:type="dxa"/>
                  <w:tcBorders>
                    <w:top w:val="nil"/>
                    <w:left w:val="nil"/>
                    <w:bottom w:val="nil"/>
                    <w:right w:val="nil"/>
                  </w:tcBorders>
                  <w:shd w:val="clear" w:color="auto" w:fill="auto"/>
                  <w:noWrap/>
                  <w:vAlign w:val="bottom"/>
                  <w:hideMark/>
                </w:tcPr>
                <w:p w14:paraId="73386CC4"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360</w:t>
                  </w:r>
                </w:p>
              </w:tc>
              <w:tc>
                <w:tcPr>
                  <w:tcW w:w="1337" w:type="dxa"/>
                  <w:tcBorders>
                    <w:top w:val="nil"/>
                    <w:left w:val="nil"/>
                    <w:bottom w:val="nil"/>
                    <w:right w:val="nil"/>
                  </w:tcBorders>
                  <w:shd w:val="clear" w:color="auto" w:fill="auto"/>
                  <w:noWrap/>
                  <w:vAlign w:val="bottom"/>
                  <w:hideMark/>
                </w:tcPr>
                <w:p w14:paraId="56B19543"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$1,618</w:t>
                  </w:r>
                </w:p>
              </w:tc>
              <w:tc>
                <w:tcPr>
                  <w:tcW w:w="990" w:type="dxa"/>
                  <w:tcBorders>
                    <w:top w:val="nil"/>
                    <w:left w:val="nil"/>
                    <w:bottom w:val="nil"/>
                    <w:right w:val="nil"/>
                  </w:tcBorders>
                  <w:shd w:val="clear" w:color="auto" w:fill="auto"/>
                  <w:noWrap/>
                  <w:vAlign w:val="bottom"/>
                  <w:hideMark/>
                </w:tcPr>
                <w:p w14:paraId="75B8180F"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45</w:t>
                  </w:r>
                </w:p>
              </w:tc>
              <w:tc>
                <w:tcPr>
                  <w:tcW w:w="1260" w:type="dxa"/>
                  <w:tcBorders>
                    <w:top w:val="nil"/>
                    <w:left w:val="nil"/>
                    <w:bottom w:val="nil"/>
                    <w:right w:val="nil"/>
                  </w:tcBorders>
                  <w:shd w:val="clear" w:color="auto" w:fill="auto"/>
                  <w:noWrap/>
                  <w:vAlign w:val="bottom"/>
                  <w:hideMark/>
                </w:tcPr>
                <w:p w14:paraId="327FE6CB"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4629</w:t>
                  </w:r>
                </w:p>
              </w:tc>
            </w:tr>
            <w:tr w:rsidR="009E4391" w:rsidRPr="00F83E14" w14:paraId="08134E5D" w14:textId="77777777" w:rsidTr="009E4391">
              <w:trPr>
                <w:trHeight w:val="255"/>
              </w:trPr>
              <w:tc>
                <w:tcPr>
                  <w:tcW w:w="2145" w:type="dxa"/>
                  <w:tcBorders>
                    <w:top w:val="nil"/>
                    <w:left w:val="nil"/>
                    <w:bottom w:val="nil"/>
                    <w:right w:val="nil"/>
                  </w:tcBorders>
                  <w:shd w:val="clear" w:color="auto" w:fill="auto"/>
                  <w:vAlign w:val="bottom"/>
                  <w:hideMark/>
                </w:tcPr>
                <w:p w14:paraId="12DFF857" w14:textId="77777777" w:rsidR="009E4391" w:rsidRPr="00F83E14" w:rsidRDefault="009E4391" w:rsidP="009E4391">
                  <w:pPr>
                    <w:spacing w:after="0" w:line="240" w:lineRule="auto"/>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 WP participants</w:t>
                  </w:r>
                </w:p>
              </w:tc>
              <w:tc>
                <w:tcPr>
                  <w:tcW w:w="1260" w:type="dxa"/>
                  <w:tcBorders>
                    <w:top w:val="nil"/>
                    <w:left w:val="nil"/>
                    <w:bottom w:val="nil"/>
                    <w:right w:val="nil"/>
                  </w:tcBorders>
                  <w:shd w:val="clear" w:color="auto" w:fill="auto"/>
                  <w:noWrap/>
                  <w:vAlign w:val="bottom"/>
                  <w:hideMark/>
                </w:tcPr>
                <w:p w14:paraId="3546E02C"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529</w:t>
                  </w:r>
                </w:p>
              </w:tc>
              <w:tc>
                <w:tcPr>
                  <w:tcW w:w="1170" w:type="dxa"/>
                  <w:tcBorders>
                    <w:top w:val="nil"/>
                    <w:left w:val="nil"/>
                    <w:bottom w:val="nil"/>
                    <w:right w:val="nil"/>
                  </w:tcBorders>
                  <w:shd w:val="clear" w:color="auto" w:fill="auto"/>
                  <w:noWrap/>
                  <w:vAlign w:val="bottom"/>
                  <w:hideMark/>
                </w:tcPr>
                <w:p w14:paraId="7B12C528"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47</w:t>
                  </w:r>
                </w:p>
              </w:tc>
              <w:tc>
                <w:tcPr>
                  <w:tcW w:w="1183" w:type="dxa"/>
                  <w:tcBorders>
                    <w:top w:val="nil"/>
                    <w:left w:val="nil"/>
                    <w:bottom w:val="nil"/>
                    <w:right w:val="nil"/>
                  </w:tcBorders>
                  <w:shd w:val="clear" w:color="auto" w:fill="auto"/>
                  <w:noWrap/>
                  <w:vAlign w:val="bottom"/>
                  <w:hideMark/>
                </w:tcPr>
                <w:p w14:paraId="1A22932F"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111</w:t>
                  </w:r>
                </w:p>
              </w:tc>
              <w:tc>
                <w:tcPr>
                  <w:tcW w:w="1337" w:type="dxa"/>
                  <w:tcBorders>
                    <w:top w:val="nil"/>
                    <w:left w:val="nil"/>
                    <w:bottom w:val="nil"/>
                    <w:right w:val="nil"/>
                  </w:tcBorders>
                  <w:shd w:val="clear" w:color="auto" w:fill="auto"/>
                  <w:noWrap/>
                  <w:vAlign w:val="bottom"/>
                  <w:hideMark/>
                </w:tcPr>
                <w:p w14:paraId="3B752B18"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169</w:t>
                  </w:r>
                </w:p>
              </w:tc>
              <w:tc>
                <w:tcPr>
                  <w:tcW w:w="990" w:type="dxa"/>
                  <w:tcBorders>
                    <w:top w:val="nil"/>
                    <w:left w:val="nil"/>
                    <w:bottom w:val="nil"/>
                    <w:right w:val="nil"/>
                  </w:tcBorders>
                  <w:shd w:val="clear" w:color="auto" w:fill="auto"/>
                  <w:noWrap/>
                  <w:vAlign w:val="bottom"/>
                  <w:hideMark/>
                </w:tcPr>
                <w:p w14:paraId="19031A54"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22</w:t>
                  </w:r>
                </w:p>
              </w:tc>
              <w:tc>
                <w:tcPr>
                  <w:tcW w:w="1260" w:type="dxa"/>
                  <w:tcBorders>
                    <w:top w:val="nil"/>
                    <w:left w:val="nil"/>
                    <w:bottom w:val="nil"/>
                    <w:right w:val="nil"/>
                  </w:tcBorders>
                  <w:shd w:val="clear" w:color="auto" w:fill="auto"/>
                  <w:noWrap/>
                  <w:vAlign w:val="bottom"/>
                  <w:hideMark/>
                </w:tcPr>
                <w:p w14:paraId="2715BD7E"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878</w:t>
                  </w:r>
                </w:p>
              </w:tc>
            </w:tr>
            <w:tr w:rsidR="009E4391" w:rsidRPr="00F83E14" w14:paraId="0736531A" w14:textId="77777777" w:rsidTr="009E4391">
              <w:trPr>
                <w:trHeight w:val="345"/>
              </w:trPr>
              <w:tc>
                <w:tcPr>
                  <w:tcW w:w="2145" w:type="dxa"/>
                  <w:tcBorders>
                    <w:top w:val="nil"/>
                    <w:left w:val="nil"/>
                    <w:bottom w:val="nil"/>
                    <w:right w:val="nil"/>
                  </w:tcBorders>
                  <w:shd w:val="clear" w:color="auto" w:fill="auto"/>
                  <w:vAlign w:val="bottom"/>
                  <w:hideMark/>
                </w:tcPr>
                <w:p w14:paraId="67B1F31D" w14:textId="15D11CC3" w:rsidR="009E4391" w:rsidRPr="00F83E14" w:rsidRDefault="009E4391" w:rsidP="009E4391">
                  <w:pPr>
                    <w:spacing w:after="0" w:line="240" w:lineRule="auto"/>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WP participants per eligible</w:t>
                  </w:r>
                </w:p>
              </w:tc>
              <w:tc>
                <w:tcPr>
                  <w:tcW w:w="1260" w:type="dxa"/>
                  <w:tcBorders>
                    <w:top w:val="nil"/>
                    <w:left w:val="nil"/>
                    <w:bottom w:val="nil"/>
                    <w:right w:val="nil"/>
                  </w:tcBorders>
                  <w:shd w:val="clear" w:color="auto" w:fill="auto"/>
                  <w:noWrap/>
                  <w:vAlign w:val="bottom"/>
                  <w:hideMark/>
                </w:tcPr>
                <w:p w14:paraId="30C89B9E"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23.2%</w:t>
                  </w:r>
                </w:p>
              </w:tc>
              <w:tc>
                <w:tcPr>
                  <w:tcW w:w="1170" w:type="dxa"/>
                  <w:tcBorders>
                    <w:top w:val="nil"/>
                    <w:left w:val="nil"/>
                    <w:bottom w:val="nil"/>
                    <w:right w:val="nil"/>
                  </w:tcBorders>
                  <w:shd w:val="clear" w:color="auto" w:fill="auto"/>
                  <w:noWrap/>
                  <w:vAlign w:val="bottom"/>
                  <w:hideMark/>
                </w:tcPr>
                <w:p w14:paraId="1B06CE73"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14.6%</w:t>
                  </w:r>
                </w:p>
              </w:tc>
              <w:tc>
                <w:tcPr>
                  <w:tcW w:w="1183" w:type="dxa"/>
                  <w:tcBorders>
                    <w:top w:val="nil"/>
                    <w:left w:val="nil"/>
                    <w:bottom w:val="nil"/>
                    <w:right w:val="nil"/>
                  </w:tcBorders>
                  <w:shd w:val="clear" w:color="auto" w:fill="auto"/>
                  <w:noWrap/>
                  <w:vAlign w:val="bottom"/>
                  <w:hideMark/>
                </w:tcPr>
                <w:p w14:paraId="6F2AC148"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30.8%</w:t>
                  </w:r>
                </w:p>
              </w:tc>
              <w:tc>
                <w:tcPr>
                  <w:tcW w:w="1337" w:type="dxa"/>
                  <w:tcBorders>
                    <w:top w:val="nil"/>
                    <w:left w:val="nil"/>
                    <w:bottom w:val="nil"/>
                    <w:right w:val="nil"/>
                  </w:tcBorders>
                  <w:shd w:val="clear" w:color="auto" w:fill="auto"/>
                  <w:noWrap/>
                  <w:vAlign w:val="bottom"/>
                  <w:hideMark/>
                </w:tcPr>
                <w:p w14:paraId="5645C723"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10.4%</w:t>
                  </w:r>
                </w:p>
              </w:tc>
              <w:tc>
                <w:tcPr>
                  <w:tcW w:w="990" w:type="dxa"/>
                  <w:tcBorders>
                    <w:top w:val="nil"/>
                    <w:left w:val="nil"/>
                    <w:bottom w:val="nil"/>
                    <w:right w:val="nil"/>
                  </w:tcBorders>
                  <w:shd w:val="clear" w:color="auto" w:fill="auto"/>
                  <w:noWrap/>
                  <w:vAlign w:val="bottom"/>
                  <w:hideMark/>
                </w:tcPr>
                <w:p w14:paraId="4DF57DC7"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48.9%</w:t>
                  </w:r>
                </w:p>
              </w:tc>
              <w:tc>
                <w:tcPr>
                  <w:tcW w:w="1260" w:type="dxa"/>
                  <w:tcBorders>
                    <w:top w:val="nil"/>
                    <w:left w:val="nil"/>
                    <w:bottom w:val="nil"/>
                    <w:right w:val="nil"/>
                  </w:tcBorders>
                  <w:shd w:val="clear" w:color="auto" w:fill="auto"/>
                  <w:noWrap/>
                  <w:vAlign w:val="bottom"/>
                  <w:hideMark/>
                </w:tcPr>
                <w:p w14:paraId="5DE722FE"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19.0%</w:t>
                  </w:r>
                </w:p>
              </w:tc>
            </w:tr>
            <w:tr w:rsidR="009E4391" w:rsidRPr="00F83E14" w14:paraId="7D98EA6D" w14:textId="77777777" w:rsidTr="009E4391">
              <w:trPr>
                <w:trHeight w:val="360"/>
              </w:trPr>
              <w:tc>
                <w:tcPr>
                  <w:tcW w:w="2145" w:type="dxa"/>
                  <w:tcBorders>
                    <w:top w:val="nil"/>
                    <w:left w:val="nil"/>
                    <w:bottom w:val="nil"/>
                    <w:right w:val="nil"/>
                  </w:tcBorders>
                  <w:shd w:val="clear" w:color="auto" w:fill="auto"/>
                  <w:vAlign w:val="bottom"/>
                  <w:hideMark/>
                </w:tcPr>
                <w:p w14:paraId="4A1EC457" w14:textId="77777777" w:rsidR="009E4391" w:rsidRPr="00F83E14" w:rsidRDefault="009E4391" w:rsidP="009E4391">
                  <w:pPr>
                    <w:spacing w:after="0" w:line="240" w:lineRule="auto"/>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Incentives/participant</w:t>
                  </w:r>
                </w:p>
              </w:tc>
              <w:tc>
                <w:tcPr>
                  <w:tcW w:w="1260" w:type="dxa"/>
                  <w:tcBorders>
                    <w:top w:val="nil"/>
                    <w:left w:val="nil"/>
                    <w:bottom w:val="nil"/>
                    <w:right w:val="nil"/>
                  </w:tcBorders>
                  <w:shd w:val="clear" w:color="auto" w:fill="auto"/>
                  <w:noWrap/>
                  <w:vAlign w:val="bottom"/>
                  <w:hideMark/>
                </w:tcPr>
                <w:p w14:paraId="195F2AC7"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$573.83</w:t>
                  </w:r>
                </w:p>
              </w:tc>
              <w:tc>
                <w:tcPr>
                  <w:tcW w:w="1170" w:type="dxa"/>
                  <w:tcBorders>
                    <w:top w:val="nil"/>
                    <w:left w:val="nil"/>
                    <w:bottom w:val="nil"/>
                    <w:right w:val="nil"/>
                  </w:tcBorders>
                  <w:shd w:val="clear" w:color="auto" w:fill="auto"/>
                  <w:noWrap/>
                  <w:vAlign w:val="bottom"/>
                  <w:hideMark/>
                </w:tcPr>
                <w:p w14:paraId="72F8E0B8"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$531.91</w:t>
                  </w:r>
                </w:p>
              </w:tc>
              <w:tc>
                <w:tcPr>
                  <w:tcW w:w="1183" w:type="dxa"/>
                  <w:tcBorders>
                    <w:top w:val="nil"/>
                    <w:left w:val="nil"/>
                    <w:bottom w:val="nil"/>
                    <w:right w:val="nil"/>
                  </w:tcBorders>
                  <w:shd w:val="clear" w:color="auto" w:fill="auto"/>
                  <w:noWrap/>
                  <w:vAlign w:val="bottom"/>
                  <w:hideMark/>
                </w:tcPr>
                <w:p w14:paraId="50D1D72C"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$900.90</w:t>
                  </w:r>
                </w:p>
              </w:tc>
              <w:tc>
                <w:tcPr>
                  <w:tcW w:w="1337" w:type="dxa"/>
                  <w:tcBorders>
                    <w:top w:val="nil"/>
                    <w:left w:val="nil"/>
                    <w:bottom w:val="nil"/>
                    <w:right w:val="nil"/>
                  </w:tcBorders>
                  <w:shd w:val="clear" w:color="auto" w:fill="auto"/>
                  <w:noWrap/>
                  <w:vAlign w:val="bottom"/>
                  <w:hideMark/>
                </w:tcPr>
                <w:p w14:paraId="1D389538"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$1,300.66</w:t>
                  </w:r>
                </w:p>
              </w:tc>
              <w:tc>
                <w:tcPr>
                  <w:tcW w:w="990" w:type="dxa"/>
                  <w:tcBorders>
                    <w:top w:val="nil"/>
                    <w:left w:val="nil"/>
                    <w:bottom w:val="nil"/>
                    <w:right w:val="nil"/>
                  </w:tcBorders>
                  <w:shd w:val="clear" w:color="auto" w:fill="auto"/>
                  <w:noWrap/>
                  <w:vAlign w:val="bottom"/>
                  <w:hideMark/>
                </w:tcPr>
                <w:p w14:paraId="1EC13DD8"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$409.09</w:t>
                  </w:r>
                </w:p>
              </w:tc>
              <w:tc>
                <w:tcPr>
                  <w:tcW w:w="1260" w:type="dxa"/>
                  <w:tcBorders>
                    <w:top w:val="nil"/>
                    <w:left w:val="nil"/>
                    <w:bottom w:val="nil"/>
                    <w:right w:val="nil"/>
                  </w:tcBorders>
                  <w:shd w:val="clear" w:color="auto" w:fill="auto"/>
                  <w:noWrap/>
                  <w:vAlign w:val="bottom"/>
                  <w:hideMark/>
                </w:tcPr>
                <w:p w14:paraId="766E394B"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$748.71</w:t>
                  </w:r>
                </w:p>
              </w:tc>
            </w:tr>
            <w:tr w:rsidR="009E4391" w:rsidRPr="00F83E14" w14:paraId="436E3D71" w14:textId="77777777" w:rsidTr="009E4391">
              <w:trPr>
                <w:trHeight w:val="345"/>
              </w:trPr>
              <w:tc>
                <w:tcPr>
                  <w:tcW w:w="2145" w:type="dxa"/>
                  <w:tcBorders>
                    <w:top w:val="nil"/>
                    <w:left w:val="nil"/>
                    <w:bottom w:val="nil"/>
                    <w:right w:val="nil"/>
                  </w:tcBorders>
                  <w:shd w:val="clear" w:color="auto" w:fill="auto"/>
                  <w:noWrap/>
                  <w:vAlign w:val="bottom"/>
                  <w:hideMark/>
                </w:tcPr>
                <w:p w14:paraId="6E666549" w14:textId="77777777" w:rsidR="009E4391" w:rsidRPr="00F83E14" w:rsidRDefault="009E4391" w:rsidP="009E4391">
                  <w:pPr>
                    <w:spacing w:after="0" w:line="240" w:lineRule="auto"/>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Incentives/eligible</w:t>
                  </w:r>
                </w:p>
              </w:tc>
              <w:tc>
                <w:tcPr>
                  <w:tcW w:w="1260" w:type="dxa"/>
                  <w:tcBorders>
                    <w:top w:val="nil"/>
                    <w:left w:val="nil"/>
                    <w:bottom w:val="nil"/>
                    <w:right w:val="nil"/>
                  </w:tcBorders>
                  <w:shd w:val="clear" w:color="auto" w:fill="auto"/>
                  <w:noWrap/>
                  <w:vAlign w:val="bottom"/>
                  <w:hideMark/>
                </w:tcPr>
                <w:p w14:paraId="69488DF0"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$132.96</w:t>
                  </w:r>
                </w:p>
              </w:tc>
              <w:tc>
                <w:tcPr>
                  <w:tcW w:w="1170" w:type="dxa"/>
                  <w:tcBorders>
                    <w:top w:val="nil"/>
                    <w:left w:val="nil"/>
                    <w:bottom w:val="nil"/>
                    <w:right w:val="nil"/>
                  </w:tcBorders>
                  <w:shd w:val="clear" w:color="auto" w:fill="auto"/>
                  <w:noWrap/>
                  <w:vAlign w:val="bottom"/>
                  <w:hideMark/>
                </w:tcPr>
                <w:p w14:paraId="1F7A2A19"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$77.40</w:t>
                  </w:r>
                </w:p>
              </w:tc>
              <w:tc>
                <w:tcPr>
                  <w:tcW w:w="1183" w:type="dxa"/>
                  <w:tcBorders>
                    <w:top w:val="nil"/>
                    <w:left w:val="nil"/>
                    <w:bottom w:val="nil"/>
                    <w:right w:val="nil"/>
                  </w:tcBorders>
                  <w:shd w:val="clear" w:color="auto" w:fill="auto"/>
                  <w:noWrap/>
                  <w:vAlign w:val="bottom"/>
                  <w:hideMark/>
                </w:tcPr>
                <w:p w14:paraId="2CADC8DD"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$277.78</w:t>
                  </w:r>
                </w:p>
              </w:tc>
              <w:tc>
                <w:tcPr>
                  <w:tcW w:w="1337" w:type="dxa"/>
                  <w:tcBorders>
                    <w:top w:val="nil"/>
                    <w:left w:val="nil"/>
                    <w:bottom w:val="nil"/>
                    <w:right w:val="nil"/>
                  </w:tcBorders>
                  <w:shd w:val="clear" w:color="auto" w:fill="auto"/>
                  <w:noWrap/>
                  <w:vAlign w:val="bottom"/>
                  <w:hideMark/>
                </w:tcPr>
                <w:p w14:paraId="21FFA093"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$135.85</w:t>
                  </w:r>
                </w:p>
              </w:tc>
              <w:tc>
                <w:tcPr>
                  <w:tcW w:w="990" w:type="dxa"/>
                  <w:tcBorders>
                    <w:top w:val="nil"/>
                    <w:left w:val="nil"/>
                    <w:bottom w:val="nil"/>
                    <w:right w:val="nil"/>
                  </w:tcBorders>
                  <w:shd w:val="clear" w:color="auto" w:fill="auto"/>
                  <w:noWrap/>
                  <w:vAlign w:val="bottom"/>
                  <w:hideMark/>
                </w:tcPr>
                <w:p w14:paraId="66BFFC85"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$200.00</w:t>
                  </w:r>
                </w:p>
              </w:tc>
              <w:tc>
                <w:tcPr>
                  <w:tcW w:w="1260" w:type="dxa"/>
                  <w:tcBorders>
                    <w:top w:val="nil"/>
                    <w:left w:val="nil"/>
                    <w:bottom w:val="nil"/>
                    <w:right w:val="nil"/>
                  </w:tcBorders>
                  <w:shd w:val="clear" w:color="auto" w:fill="auto"/>
                  <w:noWrap/>
                  <w:vAlign w:val="bottom"/>
                  <w:hideMark/>
                </w:tcPr>
                <w:p w14:paraId="6E476157"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$142.01</w:t>
                  </w:r>
                </w:p>
              </w:tc>
            </w:tr>
            <w:tr w:rsidR="009E4391" w:rsidRPr="009E4391" w14:paraId="40F1096E" w14:textId="77777777" w:rsidTr="009E4391">
              <w:trPr>
                <w:trHeight w:val="255"/>
              </w:trPr>
              <w:tc>
                <w:tcPr>
                  <w:tcW w:w="2145" w:type="dxa"/>
                  <w:tcBorders>
                    <w:top w:val="nil"/>
                    <w:left w:val="nil"/>
                    <w:bottom w:val="nil"/>
                    <w:right w:val="nil"/>
                  </w:tcBorders>
                  <w:shd w:val="clear" w:color="auto" w:fill="auto"/>
                  <w:noWrap/>
                  <w:vAlign w:val="bottom"/>
                  <w:hideMark/>
                </w:tcPr>
                <w:p w14:paraId="7737F52F" w14:textId="77777777" w:rsidR="009E4391" w:rsidRPr="00F83E14" w:rsidRDefault="009E4391" w:rsidP="009E4391">
                  <w:pPr>
                    <w:spacing w:after="0" w:line="240" w:lineRule="auto"/>
                    <w:rPr>
                      <w:rFonts w:ascii="Arial" w:eastAsia="Times New Roman" w:hAnsi="Arial" w:cs="Arial"/>
                      <w:b/>
                      <w:bCs/>
                      <w:sz w:val="20"/>
                      <w:szCs w:val="20"/>
                      <w:highlight w:val="yellow"/>
                    </w:rPr>
                  </w:pPr>
                  <w:r w:rsidRPr="00F83E14">
                    <w:rPr>
                      <w:rFonts w:ascii="Arial" w:eastAsia="Times New Roman" w:hAnsi="Arial" w:cs="Arial"/>
                      <w:b/>
                      <w:bCs/>
                      <w:sz w:val="20"/>
                      <w:szCs w:val="20"/>
                      <w:highlight w:val="yellow"/>
                    </w:rPr>
                    <w:t>Cost/Eligible</w:t>
                  </w:r>
                </w:p>
              </w:tc>
              <w:tc>
                <w:tcPr>
                  <w:tcW w:w="1260" w:type="dxa"/>
                  <w:tcBorders>
                    <w:top w:val="nil"/>
                    <w:left w:val="nil"/>
                    <w:bottom w:val="nil"/>
                    <w:right w:val="nil"/>
                  </w:tcBorders>
                  <w:shd w:val="clear" w:color="auto" w:fill="auto"/>
                  <w:noWrap/>
                  <w:vAlign w:val="bottom"/>
                  <w:hideMark/>
                </w:tcPr>
                <w:p w14:paraId="38C603CF"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$312</w:t>
                  </w:r>
                </w:p>
              </w:tc>
              <w:tc>
                <w:tcPr>
                  <w:tcW w:w="1170" w:type="dxa"/>
                  <w:tcBorders>
                    <w:top w:val="nil"/>
                    <w:left w:val="nil"/>
                    <w:bottom w:val="nil"/>
                    <w:right w:val="nil"/>
                  </w:tcBorders>
                  <w:shd w:val="clear" w:color="auto" w:fill="auto"/>
                  <w:noWrap/>
                  <w:vAlign w:val="bottom"/>
                  <w:hideMark/>
                </w:tcPr>
                <w:p w14:paraId="1F8D003B"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$494</w:t>
                  </w:r>
                </w:p>
              </w:tc>
              <w:tc>
                <w:tcPr>
                  <w:tcW w:w="1183" w:type="dxa"/>
                  <w:tcBorders>
                    <w:top w:val="nil"/>
                    <w:left w:val="nil"/>
                    <w:bottom w:val="nil"/>
                    <w:right w:val="nil"/>
                  </w:tcBorders>
                  <w:shd w:val="clear" w:color="auto" w:fill="auto"/>
                  <w:noWrap/>
                  <w:vAlign w:val="bottom"/>
                  <w:hideMark/>
                </w:tcPr>
                <w:p w14:paraId="7F4E9DB6"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$1,308</w:t>
                  </w:r>
                </w:p>
              </w:tc>
              <w:tc>
                <w:tcPr>
                  <w:tcW w:w="1337" w:type="dxa"/>
                  <w:tcBorders>
                    <w:top w:val="nil"/>
                    <w:left w:val="nil"/>
                    <w:bottom w:val="nil"/>
                    <w:right w:val="nil"/>
                  </w:tcBorders>
                  <w:shd w:val="clear" w:color="auto" w:fill="auto"/>
                  <w:noWrap/>
                  <w:vAlign w:val="bottom"/>
                  <w:hideMark/>
                </w:tcPr>
                <w:p w14:paraId="06055DDC"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$258</w:t>
                  </w:r>
                </w:p>
              </w:tc>
              <w:tc>
                <w:tcPr>
                  <w:tcW w:w="990" w:type="dxa"/>
                  <w:tcBorders>
                    <w:top w:val="nil"/>
                    <w:left w:val="nil"/>
                    <w:bottom w:val="nil"/>
                    <w:right w:val="nil"/>
                  </w:tcBorders>
                  <w:shd w:val="clear" w:color="auto" w:fill="auto"/>
                  <w:noWrap/>
                  <w:vAlign w:val="bottom"/>
                  <w:hideMark/>
                </w:tcPr>
                <w:p w14:paraId="16EE7573" w14:textId="77777777" w:rsidR="009E4391" w:rsidRPr="00F83E14" w:rsidRDefault="009E4391" w:rsidP="009E4391">
                  <w:pPr>
                    <w:spacing w:after="0" w:line="240" w:lineRule="auto"/>
                    <w:jc w:val="right"/>
                    <w:rPr>
                      <w:rFonts w:ascii="Arial" w:eastAsia="Times New Roman" w:hAnsi="Arial" w:cs="Arial"/>
                      <w:sz w:val="20"/>
                      <w:szCs w:val="20"/>
                      <w:highlight w:val="yellow"/>
                    </w:rPr>
                  </w:pPr>
                  <w:r w:rsidRPr="00F83E14">
                    <w:rPr>
                      <w:rFonts w:ascii="Arial" w:eastAsia="Times New Roman" w:hAnsi="Arial" w:cs="Arial"/>
                      <w:sz w:val="20"/>
                      <w:szCs w:val="20"/>
                      <w:highlight w:val="yellow"/>
                    </w:rPr>
                    <w:t>$978</w:t>
                  </w:r>
                </w:p>
              </w:tc>
              <w:tc>
                <w:tcPr>
                  <w:tcW w:w="1260" w:type="dxa"/>
                  <w:tcBorders>
                    <w:top w:val="nil"/>
                    <w:left w:val="nil"/>
                    <w:bottom w:val="nil"/>
                    <w:right w:val="nil"/>
                  </w:tcBorders>
                  <w:shd w:val="clear" w:color="auto" w:fill="auto"/>
                  <w:noWrap/>
                  <w:vAlign w:val="bottom"/>
                  <w:hideMark/>
                </w:tcPr>
                <w:p w14:paraId="551C7CEA" w14:textId="77777777" w:rsidR="009E4391" w:rsidRPr="009E4391" w:rsidRDefault="009E4391" w:rsidP="009E4391">
                  <w:pPr>
                    <w:spacing w:after="0" w:line="240" w:lineRule="auto"/>
                    <w:jc w:val="right"/>
                    <w:rPr>
                      <w:rFonts w:ascii="Arial" w:eastAsia="Times New Roman" w:hAnsi="Arial" w:cs="Arial"/>
                      <w:sz w:val="20"/>
                      <w:szCs w:val="20"/>
                    </w:rPr>
                  </w:pPr>
                  <w:r w:rsidRPr="00F83E14">
                    <w:rPr>
                      <w:rFonts w:ascii="Arial" w:eastAsia="Times New Roman" w:hAnsi="Arial" w:cs="Arial"/>
                      <w:sz w:val="20"/>
                      <w:szCs w:val="20"/>
                      <w:highlight w:val="yellow"/>
                    </w:rPr>
                    <w:t>$390</w:t>
                  </w:r>
                </w:p>
              </w:tc>
            </w:tr>
          </w:tbl>
          <w:p w14:paraId="15B3B537" w14:textId="77777777" w:rsidR="00290369" w:rsidRPr="009E4391" w:rsidRDefault="00290369" w:rsidP="00290369">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tcPr>
          <w:p w14:paraId="2A3BC45E" w14:textId="50945819" w:rsidR="00290369" w:rsidRPr="009E4391" w:rsidRDefault="00290369" w:rsidP="00F83E14">
            <w:pPr>
              <w:spacing w:after="0" w:line="240" w:lineRule="auto"/>
              <w:rPr>
                <w:rFonts w:ascii="Arial" w:eastAsia="Times New Roman" w:hAnsi="Arial" w:cs="Arial"/>
                <w:b/>
                <w:bCs/>
                <w:sz w:val="20"/>
                <w:szCs w:val="20"/>
              </w:rPr>
            </w:pPr>
          </w:p>
        </w:tc>
        <w:tc>
          <w:tcPr>
            <w:tcW w:w="1170" w:type="dxa"/>
            <w:tcBorders>
              <w:top w:val="nil"/>
              <w:left w:val="nil"/>
              <w:bottom w:val="nil"/>
              <w:right w:val="nil"/>
            </w:tcBorders>
            <w:shd w:val="clear" w:color="auto" w:fill="auto"/>
            <w:noWrap/>
            <w:vAlign w:val="bottom"/>
          </w:tcPr>
          <w:p w14:paraId="51E90544" w14:textId="662FBDE1" w:rsidR="00290369" w:rsidRPr="009E4391" w:rsidRDefault="00290369" w:rsidP="00290369">
            <w:pPr>
              <w:spacing w:after="0" w:line="240" w:lineRule="auto"/>
              <w:jc w:val="right"/>
              <w:rPr>
                <w:rFonts w:ascii="Arial" w:eastAsia="Times New Roman" w:hAnsi="Arial" w:cs="Arial"/>
                <w:b/>
                <w:bCs/>
                <w:sz w:val="20"/>
                <w:szCs w:val="20"/>
              </w:rPr>
            </w:pPr>
          </w:p>
        </w:tc>
        <w:tc>
          <w:tcPr>
            <w:tcW w:w="1183" w:type="dxa"/>
            <w:tcBorders>
              <w:top w:val="nil"/>
              <w:left w:val="nil"/>
              <w:bottom w:val="nil"/>
              <w:right w:val="nil"/>
            </w:tcBorders>
            <w:shd w:val="clear" w:color="auto" w:fill="auto"/>
            <w:noWrap/>
            <w:vAlign w:val="bottom"/>
          </w:tcPr>
          <w:p w14:paraId="737BE79A" w14:textId="49734520" w:rsidR="00290369" w:rsidRPr="009E4391" w:rsidRDefault="00290369" w:rsidP="00290369">
            <w:pPr>
              <w:spacing w:after="0" w:line="240" w:lineRule="auto"/>
              <w:jc w:val="right"/>
              <w:rPr>
                <w:rFonts w:ascii="Arial" w:eastAsia="Times New Roman" w:hAnsi="Arial" w:cs="Arial"/>
                <w:b/>
                <w:bCs/>
                <w:sz w:val="20"/>
                <w:szCs w:val="20"/>
              </w:rPr>
            </w:pPr>
          </w:p>
        </w:tc>
        <w:tc>
          <w:tcPr>
            <w:tcW w:w="1247" w:type="dxa"/>
            <w:tcBorders>
              <w:top w:val="nil"/>
              <w:left w:val="nil"/>
              <w:bottom w:val="nil"/>
              <w:right w:val="nil"/>
            </w:tcBorders>
            <w:shd w:val="clear" w:color="auto" w:fill="auto"/>
            <w:noWrap/>
            <w:vAlign w:val="bottom"/>
          </w:tcPr>
          <w:p w14:paraId="73710058" w14:textId="5ADF7408" w:rsidR="00290369" w:rsidRPr="009E4391" w:rsidRDefault="00290369" w:rsidP="00290369">
            <w:pPr>
              <w:spacing w:after="0" w:line="240" w:lineRule="auto"/>
              <w:jc w:val="right"/>
              <w:rPr>
                <w:rFonts w:ascii="Arial" w:eastAsia="Times New Roman" w:hAnsi="Arial" w:cs="Arial"/>
                <w:b/>
                <w:bCs/>
                <w:sz w:val="20"/>
                <w:szCs w:val="20"/>
              </w:rPr>
            </w:pPr>
          </w:p>
        </w:tc>
        <w:tc>
          <w:tcPr>
            <w:tcW w:w="1051" w:type="dxa"/>
            <w:tcBorders>
              <w:top w:val="nil"/>
              <w:left w:val="nil"/>
              <w:bottom w:val="nil"/>
              <w:right w:val="nil"/>
            </w:tcBorders>
            <w:shd w:val="clear" w:color="auto" w:fill="auto"/>
            <w:noWrap/>
            <w:vAlign w:val="bottom"/>
          </w:tcPr>
          <w:p w14:paraId="5127247B" w14:textId="7DFC80A0" w:rsidR="00290369" w:rsidRPr="009E4391" w:rsidRDefault="00290369" w:rsidP="00290369">
            <w:pPr>
              <w:spacing w:after="0" w:line="240" w:lineRule="auto"/>
              <w:jc w:val="right"/>
              <w:rPr>
                <w:rFonts w:ascii="Arial" w:eastAsia="Times New Roman" w:hAnsi="Arial" w:cs="Arial"/>
                <w:b/>
                <w:bCs/>
                <w:sz w:val="20"/>
                <w:szCs w:val="20"/>
              </w:rPr>
            </w:pPr>
          </w:p>
        </w:tc>
        <w:tc>
          <w:tcPr>
            <w:tcW w:w="1199" w:type="dxa"/>
            <w:tcBorders>
              <w:top w:val="nil"/>
              <w:left w:val="nil"/>
              <w:bottom w:val="nil"/>
              <w:right w:val="nil"/>
            </w:tcBorders>
            <w:shd w:val="clear" w:color="auto" w:fill="auto"/>
            <w:noWrap/>
            <w:vAlign w:val="bottom"/>
          </w:tcPr>
          <w:p w14:paraId="65AF6DE7" w14:textId="73CF97B9" w:rsidR="00290369" w:rsidRPr="009E4391" w:rsidRDefault="00290369" w:rsidP="00290369">
            <w:pPr>
              <w:spacing w:after="0" w:line="240" w:lineRule="auto"/>
              <w:jc w:val="right"/>
              <w:rPr>
                <w:rFonts w:ascii="Arial" w:eastAsia="Times New Roman" w:hAnsi="Arial" w:cs="Arial"/>
                <w:b/>
                <w:bCs/>
                <w:sz w:val="20"/>
                <w:szCs w:val="20"/>
              </w:rPr>
            </w:pPr>
          </w:p>
        </w:tc>
      </w:tr>
      <w:tr w:rsidR="00290369" w:rsidRPr="009E4391" w14:paraId="27216067" w14:textId="77777777" w:rsidTr="00F83E14">
        <w:trPr>
          <w:trHeight w:val="255"/>
        </w:trPr>
        <w:tc>
          <w:tcPr>
            <w:tcW w:w="9561" w:type="dxa"/>
            <w:tcBorders>
              <w:top w:val="nil"/>
              <w:left w:val="nil"/>
              <w:bottom w:val="nil"/>
              <w:right w:val="nil"/>
            </w:tcBorders>
            <w:shd w:val="clear" w:color="auto" w:fill="auto"/>
            <w:noWrap/>
            <w:vAlign w:val="bottom"/>
          </w:tcPr>
          <w:p w14:paraId="399D16B8" w14:textId="1E283204" w:rsidR="00F95FA6" w:rsidRPr="009E4391" w:rsidRDefault="00F95FA6" w:rsidP="00F95FA6">
            <w:pPr>
              <w:jc w:val="both"/>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tcPr>
          <w:p w14:paraId="5A7D6942" w14:textId="6C9787D7" w:rsidR="00C45483" w:rsidRPr="009E4391" w:rsidRDefault="00C45483" w:rsidP="00F95FA6">
            <w:pPr>
              <w:spacing w:after="0" w:line="240" w:lineRule="auto"/>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tcPr>
          <w:p w14:paraId="183BEFB5" w14:textId="2395D92A" w:rsidR="00290369" w:rsidRPr="009E4391" w:rsidRDefault="00290369" w:rsidP="00290369">
            <w:pPr>
              <w:spacing w:after="0" w:line="240" w:lineRule="auto"/>
              <w:jc w:val="right"/>
              <w:rPr>
                <w:rFonts w:ascii="Arial" w:eastAsia="Times New Roman" w:hAnsi="Arial" w:cs="Arial"/>
                <w:sz w:val="20"/>
                <w:szCs w:val="20"/>
              </w:rPr>
            </w:pPr>
          </w:p>
        </w:tc>
        <w:tc>
          <w:tcPr>
            <w:tcW w:w="1183" w:type="dxa"/>
            <w:tcBorders>
              <w:top w:val="nil"/>
              <w:left w:val="nil"/>
              <w:bottom w:val="nil"/>
              <w:right w:val="nil"/>
            </w:tcBorders>
            <w:shd w:val="clear" w:color="auto" w:fill="auto"/>
            <w:noWrap/>
            <w:vAlign w:val="bottom"/>
          </w:tcPr>
          <w:p w14:paraId="4E67A75A" w14:textId="3CF524E9" w:rsidR="00290369" w:rsidRPr="009E4391" w:rsidRDefault="00290369" w:rsidP="00290369">
            <w:pPr>
              <w:spacing w:after="0" w:line="240" w:lineRule="auto"/>
              <w:jc w:val="right"/>
              <w:rPr>
                <w:rFonts w:ascii="Arial" w:eastAsia="Times New Roman" w:hAnsi="Arial" w:cs="Arial"/>
                <w:sz w:val="20"/>
                <w:szCs w:val="20"/>
              </w:rPr>
            </w:pPr>
          </w:p>
        </w:tc>
        <w:tc>
          <w:tcPr>
            <w:tcW w:w="1247" w:type="dxa"/>
            <w:tcBorders>
              <w:top w:val="nil"/>
              <w:left w:val="nil"/>
              <w:bottom w:val="nil"/>
              <w:right w:val="nil"/>
            </w:tcBorders>
            <w:shd w:val="clear" w:color="auto" w:fill="auto"/>
            <w:noWrap/>
            <w:vAlign w:val="bottom"/>
          </w:tcPr>
          <w:p w14:paraId="798C152A" w14:textId="02457063" w:rsidR="00290369" w:rsidRPr="009E4391" w:rsidRDefault="00290369" w:rsidP="00290369">
            <w:pPr>
              <w:spacing w:after="0" w:line="240" w:lineRule="auto"/>
              <w:jc w:val="right"/>
              <w:rPr>
                <w:rFonts w:ascii="Arial" w:eastAsia="Times New Roman" w:hAnsi="Arial" w:cs="Arial"/>
                <w:sz w:val="20"/>
                <w:szCs w:val="20"/>
              </w:rPr>
            </w:pPr>
          </w:p>
        </w:tc>
        <w:tc>
          <w:tcPr>
            <w:tcW w:w="1051" w:type="dxa"/>
            <w:tcBorders>
              <w:top w:val="nil"/>
              <w:left w:val="nil"/>
              <w:bottom w:val="nil"/>
              <w:right w:val="nil"/>
            </w:tcBorders>
            <w:shd w:val="clear" w:color="auto" w:fill="auto"/>
            <w:noWrap/>
            <w:vAlign w:val="bottom"/>
          </w:tcPr>
          <w:p w14:paraId="0E14D490" w14:textId="5A40C7FF" w:rsidR="00290369" w:rsidRPr="009E4391" w:rsidRDefault="00290369" w:rsidP="00290369">
            <w:pPr>
              <w:spacing w:after="0" w:line="240" w:lineRule="auto"/>
              <w:jc w:val="right"/>
              <w:rPr>
                <w:rFonts w:ascii="Arial" w:eastAsia="Times New Roman" w:hAnsi="Arial" w:cs="Arial"/>
                <w:sz w:val="20"/>
                <w:szCs w:val="20"/>
              </w:rPr>
            </w:pPr>
          </w:p>
        </w:tc>
        <w:tc>
          <w:tcPr>
            <w:tcW w:w="1199" w:type="dxa"/>
            <w:tcBorders>
              <w:top w:val="nil"/>
              <w:left w:val="nil"/>
              <w:bottom w:val="nil"/>
              <w:right w:val="nil"/>
            </w:tcBorders>
            <w:shd w:val="clear" w:color="auto" w:fill="auto"/>
            <w:noWrap/>
            <w:vAlign w:val="bottom"/>
          </w:tcPr>
          <w:p w14:paraId="502B45CB" w14:textId="66049E7B" w:rsidR="00290369" w:rsidRPr="009E4391" w:rsidRDefault="00290369" w:rsidP="00290369">
            <w:pPr>
              <w:spacing w:after="0" w:line="240" w:lineRule="auto"/>
              <w:jc w:val="right"/>
              <w:rPr>
                <w:rFonts w:ascii="Arial" w:eastAsia="Times New Roman" w:hAnsi="Arial" w:cs="Arial"/>
                <w:sz w:val="20"/>
                <w:szCs w:val="20"/>
              </w:rPr>
            </w:pPr>
          </w:p>
        </w:tc>
      </w:tr>
    </w:tbl>
    <w:p w14:paraId="10797F84" w14:textId="3B9D6FBD" w:rsidR="00F95FA6" w:rsidRDefault="00F95FA6" w:rsidP="00F95FA6">
      <w:pPr>
        <w:jc w:val="both"/>
        <w:rPr>
          <w:rFonts w:ascii="Times New Roman" w:hAnsi="Times New Roman" w:cs="Times New Roman"/>
        </w:rPr>
      </w:pPr>
      <w:bookmarkStart w:id="28" w:name="_Toc20468481"/>
      <w:r w:rsidRPr="00AC11BC">
        <w:rPr>
          <w:rFonts w:ascii="Times New Roman" w:hAnsi="Times New Roman" w:cs="Times New Roman"/>
          <w:highlight w:val="yellow"/>
        </w:rPr>
        <w:t xml:space="preserve">ODJFS instructed the county staff charged with implementing WP to support the program within their existing staffing levels and this explains the modest personnel charges.  However, the various counties did utilize contractors </w:t>
      </w:r>
      <w:r w:rsidR="00AC11BC" w:rsidRPr="00AC11BC">
        <w:rPr>
          <w:rFonts w:ascii="Times New Roman" w:hAnsi="Times New Roman" w:cs="Times New Roman"/>
          <w:highlight w:val="yellow"/>
        </w:rPr>
        <w:t>to counsel youths on establishing careers and moving their terms of employment forward.</w:t>
      </w:r>
    </w:p>
    <w:p w14:paraId="4C2EAA41" w14:textId="11C6BE26" w:rsidR="003110C1" w:rsidRPr="009E4391" w:rsidRDefault="003110C1" w:rsidP="00F83E14">
      <w:pPr>
        <w:pStyle w:val="Heading2"/>
        <w:jc w:val="both"/>
        <w:rPr>
          <w:rFonts w:ascii="Times New Roman" w:hAnsi="Times New Roman" w:cs="Times New Roman"/>
        </w:rPr>
      </w:pPr>
      <w:r w:rsidRPr="009E4391">
        <w:rPr>
          <w:rFonts w:ascii="Times New Roman" w:hAnsi="Times New Roman" w:cs="Times New Roman"/>
        </w:rPr>
        <w:t>Fixed vs Variable Costs</w:t>
      </w:r>
      <w:bookmarkEnd w:id="28"/>
    </w:p>
    <w:p w14:paraId="35464B71" w14:textId="14E36CE2" w:rsidR="003110C1" w:rsidRPr="009E4391" w:rsidRDefault="00E91C33" w:rsidP="00AC6265">
      <w:pPr>
        <w:jc w:val="both"/>
        <w:rPr>
          <w:rFonts w:ascii="Times New Roman" w:hAnsi="Times New Roman" w:cs="Times New Roman"/>
        </w:rPr>
      </w:pPr>
      <w:r w:rsidRPr="009E4391">
        <w:rPr>
          <w:rFonts w:ascii="Times New Roman" w:hAnsi="Times New Roman" w:cs="Times New Roman"/>
        </w:rPr>
        <w:t>While incentive costs will clearly vary over time with participation and extending Wage Pathways to more counties will increase incentive costs, some costs are likely one-time start-up costs</w:t>
      </w:r>
      <w:r w:rsidR="006F442F" w:rsidRPr="009E4391">
        <w:rPr>
          <w:rFonts w:ascii="Times New Roman" w:hAnsi="Times New Roman" w:cs="Times New Roman"/>
        </w:rPr>
        <w:t>, which</w:t>
      </w:r>
      <w:r w:rsidRPr="009E4391">
        <w:rPr>
          <w:rFonts w:ascii="Times New Roman" w:hAnsi="Times New Roman" w:cs="Times New Roman"/>
        </w:rPr>
        <w:t xml:space="preserve"> become less significant over time.  Some of the personnel, sub-award and miscellaneous costs may reflect costs counties incurred </w:t>
      </w:r>
      <w:r w:rsidR="009224A2" w:rsidRPr="009E4391">
        <w:rPr>
          <w:rFonts w:ascii="Times New Roman" w:hAnsi="Times New Roman" w:cs="Times New Roman"/>
        </w:rPr>
        <w:t>setting up</w:t>
      </w:r>
      <w:r w:rsidRPr="009E4391">
        <w:rPr>
          <w:rFonts w:ascii="Times New Roman" w:hAnsi="Times New Roman" w:cs="Times New Roman"/>
        </w:rPr>
        <w:t xml:space="preserve"> the Wage Pathways program operating in their service area.  </w:t>
      </w:r>
      <w:r w:rsidR="008A1136" w:rsidRPr="009E4391">
        <w:rPr>
          <w:rFonts w:ascii="Times New Roman" w:hAnsi="Times New Roman" w:cs="Times New Roman"/>
        </w:rPr>
        <w:t>With or without Ottawa, incentive costs average about $145 per eligible, so variable costs per age-eligible client likely average between $145 and $</w:t>
      </w:r>
      <w:r w:rsidR="005D3816" w:rsidRPr="009E4391">
        <w:rPr>
          <w:rFonts w:ascii="Times New Roman" w:hAnsi="Times New Roman" w:cs="Times New Roman"/>
        </w:rPr>
        <w:t>5</w:t>
      </w:r>
      <w:r w:rsidR="008A1136" w:rsidRPr="009E4391">
        <w:rPr>
          <w:rFonts w:ascii="Times New Roman" w:hAnsi="Times New Roman" w:cs="Times New Roman"/>
        </w:rPr>
        <w:t>00.</w:t>
      </w:r>
    </w:p>
    <w:p w14:paraId="64C900FF" w14:textId="61C5579D" w:rsidR="00954AEF" w:rsidRPr="009E4391" w:rsidRDefault="00954AEF" w:rsidP="00AC6265">
      <w:pPr>
        <w:jc w:val="both"/>
        <w:rPr>
          <w:rFonts w:ascii="Times New Roman" w:hAnsi="Times New Roman" w:cs="Times New Roman"/>
        </w:rPr>
      </w:pPr>
      <w:r w:rsidRPr="009E4391">
        <w:rPr>
          <w:rFonts w:ascii="Times New Roman" w:hAnsi="Times New Roman" w:cs="Times New Roman"/>
        </w:rPr>
        <w:t>Organizational cost accounting gets done in different ways by different organizations.  For-profit organizations pay careful attention to which costs they should attribute to which activities or product lines.  Even so, large companies also allocate fixed charges (such as upper</w:t>
      </w:r>
      <w:r w:rsidR="006F442F" w:rsidRPr="009E4391">
        <w:rPr>
          <w:rFonts w:ascii="Times New Roman" w:hAnsi="Times New Roman" w:cs="Times New Roman"/>
        </w:rPr>
        <w:t>-</w:t>
      </w:r>
      <w:r w:rsidRPr="009E4391">
        <w:rPr>
          <w:rFonts w:ascii="Times New Roman" w:hAnsi="Times New Roman" w:cs="Times New Roman"/>
        </w:rPr>
        <w:t>level management) to activities and product lines absent clear and compelling reasons to make those allocations.</w:t>
      </w:r>
    </w:p>
    <w:p w14:paraId="0E381367" w14:textId="4E885AC8" w:rsidR="00954AEF" w:rsidRPr="009E4391" w:rsidRDefault="00954AEF" w:rsidP="00AC6265">
      <w:pPr>
        <w:jc w:val="both"/>
        <w:rPr>
          <w:rFonts w:ascii="Times New Roman" w:hAnsi="Times New Roman" w:cs="Times New Roman"/>
        </w:rPr>
      </w:pPr>
      <w:r w:rsidRPr="009E4391">
        <w:rPr>
          <w:rFonts w:ascii="Times New Roman" w:hAnsi="Times New Roman" w:cs="Times New Roman"/>
        </w:rPr>
        <w:t xml:space="preserve">Public sector organizations use fund accounting, focusing on the need to pay for their costs out of a variety of </w:t>
      </w:r>
      <w:r w:rsidR="005D3816" w:rsidRPr="009E4391">
        <w:rPr>
          <w:rFonts w:ascii="Times New Roman" w:hAnsi="Times New Roman" w:cs="Times New Roman"/>
        </w:rPr>
        <w:t>programs</w:t>
      </w:r>
      <w:r w:rsidRPr="009E4391">
        <w:rPr>
          <w:rFonts w:ascii="Times New Roman" w:hAnsi="Times New Roman" w:cs="Times New Roman"/>
        </w:rPr>
        <w:t xml:space="preserve"> for which they have been given money.  Some of the </w:t>
      </w:r>
      <w:r w:rsidR="00AA2BC7" w:rsidRPr="009E4391">
        <w:rPr>
          <w:rFonts w:ascii="Times New Roman" w:hAnsi="Times New Roman" w:cs="Times New Roman"/>
        </w:rPr>
        <w:t>non-incentive</w:t>
      </w:r>
      <w:r w:rsidRPr="009E4391">
        <w:rPr>
          <w:rFonts w:ascii="Times New Roman" w:hAnsi="Times New Roman" w:cs="Times New Roman"/>
        </w:rPr>
        <w:t xml:space="preserve"> costs of Wage Pathways may reflect counties using fund allocations for WP to cover salaries and facilities they have incurred and would </w:t>
      </w:r>
      <w:r w:rsidR="00AA2BC7" w:rsidRPr="009E4391">
        <w:rPr>
          <w:rFonts w:ascii="Times New Roman" w:hAnsi="Times New Roman" w:cs="Times New Roman"/>
        </w:rPr>
        <w:t xml:space="preserve">still </w:t>
      </w:r>
      <w:r w:rsidRPr="009E4391">
        <w:rPr>
          <w:rFonts w:ascii="Times New Roman" w:hAnsi="Times New Roman" w:cs="Times New Roman"/>
        </w:rPr>
        <w:t xml:space="preserve">need to cover absent the WP program.  </w:t>
      </w:r>
      <w:r w:rsidR="00AA2BC7" w:rsidRPr="009E4391">
        <w:rPr>
          <w:rFonts w:ascii="Times New Roman" w:hAnsi="Times New Roman" w:cs="Times New Roman"/>
        </w:rPr>
        <w:t>Administrative costs per eligible person would likely decline as the program lasts longer and county staff have routinized program administration.</w:t>
      </w:r>
    </w:p>
    <w:p w14:paraId="184D04F4" w14:textId="77777777" w:rsidR="003110C1" w:rsidRPr="009E4391" w:rsidRDefault="003110C1" w:rsidP="00AC6265">
      <w:pPr>
        <w:pStyle w:val="Heading2"/>
        <w:jc w:val="both"/>
        <w:rPr>
          <w:rFonts w:ascii="Times New Roman" w:hAnsi="Times New Roman" w:cs="Times New Roman"/>
        </w:rPr>
      </w:pPr>
      <w:bookmarkStart w:id="29" w:name="_Toc20468482"/>
      <w:r w:rsidRPr="009E4391">
        <w:rPr>
          <w:rFonts w:ascii="Times New Roman" w:hAnsi="Times New Roman" w:cs="Times New Roman"/>
        </w:rPr>
        <w:t xml:space="preserve">Implications for </w:t>
      </w:r>
      <w:r w:rsidR="009C4F98" w:rsidRPr="009E4391">
        <w:rPr>
          <w:rFonts w:ascii="Times New Roman" w:hAnsi="Times New Roman" w:cs="Times New Roman"/>
        </w:rPr>
        <w:t xml:space="preserve">A </w:t>
      </w:r>
      <w:r w:rsidRPr="009E4391">
        <w:rPr>
          <w:rFonts w:ascii="Times New Roman" w:hAnsi="Times New Roman" w:cs="Times New Roman"/>
        </w:rPr>
        <w:t>Larger Implementation</w:t>
      </w:r>
      <w:bookmarkEnd w:id="29"/>
    </w:p>
    <w:p w14:paraId="5DC3B066" w14:textId="6E7C5C83" w:rsidR="003110C1" w:rsidRPr="009E4391" w:rsidRDefault="0051290A" w:rsidP="00AC6265">
      <w:pPr>
        <w:jc w:val="both"/>
        <w:rPr>
          <w:rFonts w:ascii="Times New Roman" w:hAnsi="Times New Roman" w:cs="Times New Roman"/>
        </w:rPr>
      </w:pPr>
      <w:r w:rsidRPr="009E4391">
        <w:rPr>
          <w:rFonts w:ascii="Times New Roman" w:hAnsi="Times New Roman" w:cs="Times New Roman"/>
        </w:rPr>
        <w:t>Looking at cost-benefit for Wage Pathways, we have more confidence in our estimated one-year, short-term benefit of $300 - $700 per eligible than our estimated cost of $145 - $</w:t>
      </w:r>
      <w:r w:rsidR="00AA2BC7" w:rsidRPr="009E4391">
        <w:rPr>
          <w:rFonts w:ascii="Times New Roman" w:hAnsi="Times New Roman" w:cs="Times New Roman"/>
        </w:rPr>
        <w:t>5</w:t>
      </w:r>
      <w:r w:rsidRPr="009E4391">
        <w:rPr>
          <w:rFonts w:ascii="Times New Roman" w:hAnsi="Times New Roman" w:cs="Times New Roman"/>
        </w:rPr>
        <w:t xml:space="preserve">00 per eligible.  </w:t>
      </w:r>
      <w:r w:rsidR="00594478" w:rsidRPr="009E4391">
        <w:rPr>
          <w:rFonts w:ascii="Times New Roman" w:hAnsi="Times New Roman" w:cs="Times New Roman"/>
        </w:rPr>
        <w:t xml:space="preserve">We measure incentive costs – the central feature of the program – accurately, and incentive costs are clearly less than the earnings benefits the program produces.  </w:t>
      </w:r>
      <w:r w:rsidR="00410DCD" w:rsidRPr="009E4391">
        <w:rPr>
          <w:rFonts w:ascii="Times New Roman" w:hAnsi="Times New Roman" w:cs="Times New Roman"/>
        </w:rPr>
        <w:t>A longer term, state-wide implementation would allow county staff to reduce ongoing costs after the start-up costs have been paid and counties have regularized their processes.  If incentive costs increase that would suggest the program is producing higher earnings for participants, improving the cost-benefit ratio.</w:t>
      </w:r>
    </w:p>
    <w:p w14:paraId="375315E4" w14:textId="77777777" w:rsidR="009C4F98" w:rsidRPr="009E4391" w:rsidRDefault="0085344B" w:rsidP="00AC6265">
      <w:pPr>
        <w:pStyle w:val="Heading1"/>
        <w:jc w:val="both"/>
        <w:rPr>
          <w:rFonts w:ascii="Times New Roman" w:hAnsi="Times New Roman" w:cs="Times New Roman"/>
        </w:rPr>
      </w:pPr>
      <w:bookmarkStart w:id="30" w:name="_Toc20468483"/>
      <w:r w:rsidRPr="009E4391">
        <w:rPr>
          <w:rFonts w:ascii="Times New Roman" w:hAnsi="Times New Roman" w:cs="Times New Roman"/>
        </w:rPr>
        <w:t>C</w:t>
      </w:r>
      <w:r w:rsidR="009C4F98" w:rsidRPr="009E4391">
        <w:rPr>
          <w:rFonts w:ascii="Times New Roman" w:hAnsi="Times New Roman" w:cs="Times New Roman"/>
        </w:rPr>
        <w:t>onclusions</w:t>
      </w:r>
      <w:r w:rsidR="001746F4" w:rsidRPr="009E4391">
        <w:rPr>
          <w:rFonts w:ascii="Times New Roman" w:hAnsi="Times New Roman" w:cs="Times New Roman"/>
        </w:rPr>
        <w:t xml:space="preserve"> from the Evaluation</w:t>
      </w:r>
      <w:bookmarkEnd w:id="30"/>
    </w:p>
    <w:p w14:paraId="097BA7B2" w14:textId="2A529111" w:rsidR="004512E7" w:rsidRPr="009E4391" w:rsidRDefault="0085344B" w:rsidP="00AC6265">
      <w:pPr>
        <w:jc w:val="both"/>
        <w:rPr>
          <w:rFonts w:ascii="Times New Roman" w:hAnsi="Times New Roman" w:cs="Times New Roman"/>
        </w:rPr>
      </w:pPr>
      <w:r w:rsidRPr="009E4391">
        <w:rPr>
          <w:rFonts w:ascii="Times New Roman" w:hAnsi="Times New Roman" w:cs="Times New Roman"/>
        </w:rPr>
        <w:t>Wage Pathways has considerable promise.  Even if its positive impacts decline in the second and third years, it</w:t>
      </w:r>
      <w:r w:rsidR="00902EA9" w:rsidRPr="009E4391">
        <w:rPr>
          <w:rFonts w:ascii="Times New Roman" w:hAnsi="Times New Roman" w:cs="Times New Roman"/>
        </w:rPr>
        <w:t>s</w:t>
      </w:r>
      <w:r w:rsidRPr="009E4391">
        <w:rPr>
          <w:rFonts w:ascii="Times New Roman" w:hAnsi="Times New Roman" w:cs="Times New Roman"/>
        </w:rPr>
        <w:t xml:space="preserve"> benefits in the form of higher earnings for the youths will very likely exceed </w:t>
      </w:r>
      <w:r w:rsidR="00902EA9" w:rsidRPr="009E4391">
        <w:rPr>
          <w:rFonts w:ascii="Times New Roman" w:hAnsi="Times New Roman" w:cs="Times New Roman"/>
        </w:rPr>
        <w:t xml:space="preserve">the </w:t>
      </w:r>
      <w:r w:rsidRPr="009E4391">
        <w:rPr>
          <w:rFonts w:ascii="Times New Roman" w:hAnsi="Times New Roman" w:cs="Times New Roman"/>
        </w:rPr>
        <w:t>costs</w:t>
      </w:r>
      <w:r w:rsidR="00902EA9" w:rsidRPr="009E4391">
        <w:rPr>
          <w:rFonts w:ascii="Times New Roman" w:hAnsi="Times New Roman" w:cs="Times New Roman"/>
        </w:rPr>
        <w:t xml:space="preserve"> directly attributable to the program</w:t>
      </w:r>
      <w:r w:rsidRPr="009E4391">
        <w:rPr>
          <w:rFonts w:ascii="Times New Roman" w:hAnsi="Times New Roman" w:cs="Times New Roman"/>
        </w:rPr>
        <w:t xml:space="preserve">.  Incentive payments </w:t>
      </w:r>
      <w:r w:rsidR="00410DCD" w:rsidRPr="009E4391">
        <w:rPr>
          <w:rFonts w:ascii="Times New Roman" w:hAnsi="Times New Roman" w:cs="Times New Roman"/>
        </w:rPr>
        <w:t>also</w:t>
      </w:r>
      <w:r w:rsidRPr="009E4391">
        <w:rPr>
          <w:rFonts w:ascii="Times New Roman" w:hAnsi="Times New Roman" w:cs="Times New Roman"/>
        </w:rPr>
        <w:t xml:space="preserve"> increase the estimated benefit to the youths, but those incentive payments are a transfer from taxpayers to CCMEP clients and </w:t>
      </w:r>
      <w:r w:rsidR="006F442F" w:rsidRPr="009E4391">
        <w:rPr>
          <w:rFonts w:ascii="Times New Roman" w:hAnsi="Times New Roman" w:cs="Times New Roman"/>
        </w:rPr>
        <w:t>should not be counted</w:t>
      </w:r>
      <w:r w:rsidRPr="009E4391">
        <w:rPr>
          <w:rFonts w:ascii="Times New Roman" w:hAnsi="Times New Roman" w:cs="Times New Roman"/>
        </w:rPr>
        <w:t xml:space="preserve"> as a net societal benefit.  </w:t>
      </w:r>
    </w:p>
    <w:p w14:paraId="67DCFF4D" w14:textId="01368855" w:rsidR="0085344B" w:rsidRDefault="0085344B" w:rsidP="00AC6265">
      <w:pPr>
        <w:jc w:val="both"/>
        <w:rPr>
          <w:rFonts w:ascii="Times New Roman" w:hAnsi="Times New Roman" w:cs="Times New Roman"/>
        </w:rPr>
      </w:pPr>
      <w:r w:rsidRPr="009E4391">
        <w:rPr>
          <w:rFonts w:ascii="Times New Roman" w:hAnsi="Times New Roman" w:cs="Times New Roman"/>
        </w:rPr>
        <w:t>It will not be difficult or costly to estimate the earnings impacts of WP over time given the established analytic framework.  The more important questions about the cost/benefit ratio of Wage Pathways lie on the cost side.</w:t>
      </w:r>
      <w:r w:rsidR="00954AEF" w:rsidRPr="009E4391">
        <w:rPr>
          <w:rFonts w:ascii="Times New Roman" w:hAnsi="Times New Roman" w:cs="Times New Roman"/>
        </w:rPr>
        <w:t xml:space="preserve">  Insofar as some of the average costs</w:t>
      </w:r>
      <w:r w:rsidR="00902EA9" w:rsidRPr="009E4391">
        <w:rPr>
          <w:rFonts w:ascii="Times New Roman" w:hAnsi="Times New Roman" w:cs="Times New Roman"/>
        </w:rPr>
        <w:t xml:space="preserve"> estimated here represent counties covering commitments</w:t>
      </w:r>
      <w:r w:rsidR="00902EA9">
        <w:rPr>
          <w:rFonts w:ascii="Times New Roman" w:hAnsi="Times New Roman" w:cs="Times New Roman"/>
        </w:rPr>
        <w:t xml:space="preserve"> out </w:t>
      </w:r>
      <w:r w:rsidR="008A221B">
        <w:rPr>
          <w:rFonts w:ascii="Times New Roman" w:hAnsi="Times New Roman" w:cs="Times New Roman"/>
        </w:rPr>
        <w:t xml:space="preserve">of </w:t>
      </w:r>
      <w:r w:rsidR="00902EA9">
        <w:rPr>
          <w:rFonts w:ascii="Times New Roman" w:hAnsi="Times New Roman" w:cs="Times New Roman"/>
        </w:rPr>
        <w:t>a convenient funding source</w:t>
      </w:r>
      <w:r w:rsidR="00410DCD">
        <w:rPr>
          <w:rFonts w:ascii="Times New Roman" w:hAnsi="Times New Roman" w:cs="Times New Roman"/>
        </w:rPr>
        <w:t xml:space="preserve"> and the costs of starting a new program,</w:t>
      </w:r>
      <w:r w:rsidR="00902EA9">
        <w:rPr>
          <w:rFonts w:ascii="Times New Roman" w:hAnsi="Times New Roman" w:cs="Times New Roman"/>
        </w:rPr>
        <w:t xml:space="preserve"> the cost</w:t>
      </w:r>
      <w:r w:rsidR="00410DCD">
        <w:rPr>
          <w:rFonts w:ascii="Times New Roman" w:hAnsi="Times New Roman" w:cs="Times New Roman"/>
        </w:rPr>
        <w:t>-</w:t>
      </w:r>
      <w:r w:rsidR="00902EA9">
        <w:rPr>
          <w:rFonts w:ascii="Times New Roman" w:hAnsi="Times New Roman" w:cs="Times New Roman"/>
        </w:rPr>
        <w:t>benefit rat</w:t>
      </w:r>
      <w:r w:rsidR="00410DCD">
        <w:rPr>
          <w:rFonts w:ascii="Times New Roman" w:hAnsi="Times New Roman" w:cs="Times New Roman"/>
        </w:rPr>
        <w:t>io</w:t>
      </w:r>
      <w:r w:rsidR="00902EA9">
        <w:rPr>
          <w:rFonts w:ascii="Times New Roman" w:hAnsi="Times New Roman" w:cs="Times New Roman"/>
        </w:rPr>
        <w:t xml:space="preserve"> is more favorable than it appears here.  We suspect that once ODJFS measures longer</w:t>
      </w:r>
      <w:r w:rsidR="008A221B">
        <w:rPr>
          <w:rFonts w:ascii="Times New Roman" w:hAnsi="Times New Roman" w:cs="Times New Roman"/>
        </w:rPr>
        <w:t>-</w:t>
      </w:r>
      <w:r w:rsidR="00902EA9">
        <w:rPr>
          <w:rFonts w:ascii="Times New Roman" w:hAnsi="Times New Roman" w:cs="Times New Roman"/>
        </w:rPr>
        <w:t>term impacts and looks more closely at the extent to which offering Wage Pathways would require counties to spend more money</w:t>
      </w:r>
      <w:r w:rsidR="00954AEF">
        <w:rPr>
          <w:rFonts w:ascii="Times New Roman" w:hAnsi="Times New Roman" w:cs="Times New Roman"/>
        </w:rPr>
        <w:t xml:space="preserve"> </w:t>
      </w:r>
      <w:r w:rsidR="00902EA9">
        <w:rPr>
          <w:rFonts w:ascii="Times New Roman" w:hAnsi="Times New Roman" w:cs="Times New Roman"/>
        </w:rPr>
        <w:t xml:space="preserve">after its initial phase-in, the program will be judged favorable on purely cost-benefit grounds.  However, there </w:t>
      </w:r>
      <w:r w:rsidR="00902EA9">
        <w:rPr>
          <w:rFonts w:ascii="Times New Roman" w:hAnsi="Times New Roman" w:cs="Times New Roman"/>
        </w:rPr>
        <w:lastRenderedPageBreak/>
        <w:t>are great many more considerations the state must take into account as well as important political judgements.</w:t>
      </w:r>
    </w:p>
    <w:p w14:paraId="2EEF6353" w14:textId="681A3BAE" w:rsidR="00DE6377" w:rsidRPr="001B6602" w:rsidRDefault="001B6602" w:rsidP="001B6602">
      <w:pPr>
        <w:pStyle w:val="Heading1"/>
        <w:jc w:val="both"/>
        <w:rPr>
          <w:rFonts w:ascii="Times New Roman" w:hAnsi="Times New Roman" w:cs="Times New Roman"/>
        </w:rPr>
      </w:pPr>
      <w:bookmarkStart w:id="31" w:name="_Toc20468484"/>
      <w:r w:rsidRPr="001B6602">
        <w:rPr>
          <w:rFonts w:ascii="Times New Roman" w:hAnsi="Times New Roman" w:cs="Times New Roman"/>
        </w:rPr>
        <w:t>Appendix A – Seasonality in the Administrative Data</w:t>
      </w:r>
      <w:bookmarkEnd w:id="31"/>
    </w:p>
    <w:p w14:paraId="02984BA3" w14:textId="44F7D288" w:rsidR="00A51F04" w:rsidRDefault="001B6602" w:rsidP="001B6602">
      <w:pPr>
        <w:jc w:val="both"/>
        <w:rPr>
          <w:rFonts w:ascii="Times New Roman" w:hAnsi="Times New Roman" w:cs="Times New Roman"/>
        </w:rPr>
      </w:pPr>
      <w:r>
        <w:rPr>
          <w:rFonts w:ascii="Times New Roman" w:hAnsi="Times New Roman" w:cs="Times New Roman"/>
        </w:rPr>
        <w:t>We use the quarterly UI Earnings data for some of the most important quantitative analyses.  These data have a substantial seasonal component and we must respect that in choosing time periods of the analysis to avoid having season</w:t>
      </w:r>
      <w:r w:rsidR="00A51F04">
        <w:rPr>
          <w:rFonts w:ascii="Times New Roman" w:hAnsi="Times New Roman" w:cs="Times New Roman"/>
        </w:rPr>
        <w:t>ality contaminate that analysis.  This appendix looks at seasonality as well as key variables over time to show that while there is a seasonal component, the data show a consistent pattern over time and display behavior that reflects long-term trends and business cycles.</w:t>
      </w:r>
      <w:r w:rsidR="004021BD">
        <w:rPr>
          <w:rFonts w:ascii="Times New Roman" w:hAnsi="Times New Roman" w:cs="Times New Roman"/>
        </w:rPr>
        <w:t xml:space="preserve">  The data here use the UI Earnings data for all of Ohio and for all ages.</w:t>
      </w:r>
    </w:p>
    <w:p w14:paraId="74D6BDC4" w14:textId="36B27EF8" w:rsidR="001B6602" w:rsidRDefault="00A51F04" w:rsidP="001B6602">
      <w:pPr>
        <w:jc w:val="both"/>
        <w:rPr>
          <w:rFonts w:ascii="Times New Roman" w:hAnsi="Times New Roman" w:cs="Times New Roman"/>
        </w:rPr>
      </w:pPr>
      <w:r>
        <w:rPr>
          <w:rFonts w:ascii="Times New Roman" w:hAnsi="Times New Roman" w:cs="Times New Roman"/>
        </w:rPr>
        <w:t>We start by showing</w:t>
      </w:r>
      <w:r w:rsidR="001B6602">
        <w:rPr>
          <w:rFonts w:ascii="Times New Roman" w:hAnsi="Times New Roman" w:cs="Times New Roman"/>
        </w:rPr>
        <w:t xml:space="preserve"> how seasonality impacts the UI Earnings data.  In Figure </w:t>
      </w:r>
      <w:r w:rsidR="002B1D0F">
        <w:rPr>
          <w:rFonts w:ascii="Times New Roman" w:hAnsi="Times New Roman" w:cs="Times New Roman"/>
        </w:rPr>
        <w:t>4</w:t>
      </w:r>
      <w:r w:rsidR="001B6602">
        <w:rPr>
          <w:rFonts w:ascii="Times New Roman" w:hAnsi="Times New Roman" w:cs="Times New Roman"/>
        </w:rPr>
        <w:t>, we show data on multiple job holding.</w:t>
      </w:r>
      <w:r w:rsidR="001B6602">
        <w:rPr>
          <w:rStyle w:val="FootnoteReference"/>
          <w:rFonts w:ascii="Times New Roman" w:hAnsi="Times New Roman" w:cs="Times New Roman"/>
        </w:rPr>
        <w:footnoteReference w:id="42"/>
      </w:r>
      <w:r w:rsidR="001B6602">
        <w:rPr>
          <w:rFonts w:ascii="Times New Roman" w:hAnsi="Times New Roman" w:cs="Times New Roman"/>
        </w:rPr>
        <w:t xml:space="preserve">  The blue line shows the number of jobs held during a quarter.  The troughs all fall in the first quarter of the calendar year with the second and third quarters showing recovery.  The gray line shows the number of jobs held per person for those who were employed the quarter before; the orange line shows jobs per employed person for those not employed the quarter before.  These latter two lines are smoothed using a four-quarter moving average.  The seasonal pattern in the blue line is unmistakable.  The smoothed lines both show multiple job-holding is pro-cyclical.  During contractions, multiple job holding declines whereas during expansions, it increases.  This illustrates how the monthly “jobs” number from the Current Employment Statistics (CES) survey can be misleading by overstating good news in expansions and overstating bad news during contractions.</w:t>
      </w:r>
      <w:r w:rsidR="001B6602">
        <w:rPr>
          <w:rStyle w:val="FootnoteReference"/>
          <w:rFonts w:ascii="Times New Roman" w:hAnsi="Times New Roman" w:cs="Times New Roman"/>
        </w:rPr>
        <w:footnoteReference w:id="43"/>
      </w:r>
      <w:r w:rsidR="001B6602">
        <w:rPr>
          <w:rFonts w:ascii="Times New Roman" w:hAnsi="Times New Roman" w:cs="Times New Roman"/>
        </w:rPr>
        <w:t xml:space="preserve"> </w:t>
      </w:r>
    </w:p>
    <w:p w14:paraId="58AF0173" w14:textId="696467A6" w:rsidR="003D3CF2" w:rsidRDefault="003D3CF2">
      <w:pPr>
        <w:rPr>
          <w:rFonts w:ascii="Times New Roman" w:hAnsi="Times New Roman" w:cs="Times New Roman"/>
        </w:rPr>
      </w:pPr>
    </w:p>
    <w:p w14:paraId="6D3B0D46" w14:textId="132DA210" w:rsidR="001B6602" w:rsidRDefault="001B6602" w:rsidP="001B6602">
      <w:pPr>
        <w:spacing w:after="0"/>
        <w:jc w:val="center"/>
        <w:rPr>
          <w:rFonts w:ascii="Times New Roman" w:hAnsi="Times New Roman" w:cs="Times New Roman"/>
        </w:rPr>
      </w:pPr>
      <w:r>
        <w:rPr>
          <w:rFonts w:ascii="Times New Roman" w:hAnsi="Times New Roman" w:cs="Times New Roman"/>
        </w:rPr>
        <w:t xml:space="preserve">Figure </w:t>
      </w:r>
      <w:r w:rsidR="002B1D0F">
        <w:rPr>
          <w:rFonts w:ascii="Times New Roman" w:hAnsi="Times New Roman" w:cs="Times New Roman"/>
        </w:rPr>
        <w:t>4</w:t>
      </w:r>
    </w:p>
    <w:p w14:paraId="0D79270D" w14:textId="77777777" w:rsidR="001B6602" w:rsidRDefault="001B6602" w:rsidP="001B6602">
      <w:pPr>
        <w:spacing w:after="0"/>
        <w:jc w:val="center"/>
        <w:rPr>
          <w:rFonts w:ascii="Times New Roman" w:hAnsi="Times New Roman" w:cs="Times New Roman"/>
        </w:rPr>
      </w:pPr>
      <w:r>
        <w:rPr>
          <w:rFonts w:ascii="Times New Roman" w:hAnsi="Times New Roman" w:cs="Times New Roman"/>
        </w:rPr>
        <w:t>Seasonality in Job Holding</w:t>
      </w:r>
    </w:p>
    <w:p w14:paraId="7BDBD17F" w14:textId="77777777" w:rsidR="001B6602" w:rsidRDefault="001B6602" w:rsidP="001B6602">
      <w:pPr>
        <w:jc w:val="both"/>
        <w:rPr>
          <w:rFonts w:ascii="Times New Roman" w:hAnsi="Times New Roman" w:cs="Times New Roman"/>
        </w:rPr>
      </w:pPr>
      <w:r>
        <w:rPr>
          <w:noProof/>
        </w:rPr>
        <w:drawing>
          <wp:inline distT="0" distB="0" distL="0" distR="0" wp14:anchorId="4CFF87D1" wp14:editId="65EBDF18">
            <wp:extent cx="5682744" cy="2743200"/>
            <wp:effectExtent l="0" t="0" r="13335" b="0"/>
            <wp:docPr id="18" name="Chart 18" descr="Chart showsjobs per employed person  from2004 through 2018.  It shows a clear quarterly season and is procycical, falling during recessions." title="Seasonality in JobHold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00E2AF" w14:textId="77777777" w:rsidR="001B6602" w:rsidRDefault="001B6602" w:rsidP="001B6602">
      <w:pPr>
        <w:jc w:val="both"/>
        <w:rPr>
          <w:rFonts w:ascii="Times New Roman" w:hAnsi="Times New Roman" w:cs="Times New Roman"/>
        </w:rPr>
      </w:pPr>
    </w:p>
    <w:p w14:paraId="2C051CA1" w14:textId="0929ADF1" w:rsidR="001B6602" w:rsidRDefault="001B6602" w:rsidP="001B6602">
      <w:pPr>
        <w:jc w:val="both"/>
        <w:rPr>
          <w:rFonts w:ascii="Times New Roman" w:hAnsi="Times New Roman" w:cs="Times New Roman"/>
        </w:rPr>
      </w:pPr>
      <w:r>
        <w:rPr>
          <w:rFonts w:ascii="Times New Roman" w:hAnsi="Times New Roman" w:cs="Times New Roman"/>
        </w:rPr>
        <w:t xml:space="preserve">Figure </w:t>
      </w:r>
      <w:r w:rsidR="002B1D0F">
        <w:rPr>
          <w:rFonts w:ascii="Times New Roman" w:hAnsi="Times New Roman" w:cs="Times New Roman"/>
        </w:rPr>
        <w:t>5</w:t>
      </w:r>
      <w:r>
        <w:rPr>
          <w:rFonts w:ascii="Times New Roman" w:hAnsi="Times New Roman" w:cs="Times New Roman"/>
        </w:rPr>
        <w:t xml:space="preserve"> shows the discordance between the BLS estimate of jobs held in Ohio from the CES and data from the UI Earnings file.  The UI earnings file will give a higher number of jobs as its reference period is quarterly, whereas the CES uses a monthly reference period.  </w:t>
      </w:r>
    </w:p>
    <w:p w14:paraId="2EE5CF98" w14:textId="17703793" w:rsidR="001B6602" w:rsidRDefault="001B6602" w:rsidP="00A51F04">
      <w:pPr>
        <w:spacing w:after="0"/>
        <w:jc w:val="center"/>
        <w:rPr>
          <w:rFonts w:ascii="Times New Roman" w:hAnsi="Times New Roman" w:cs="Times New Roman"/>
        </w:rPr>
      </w:pPr>
      <w:r>
        <w:rPr>
          <w:rFonts w:ascii="Times New Roman" w:hAnsi="Times New Roman" w:cs="Times New Roman"/>
        </w:rPr>
        <w:t xml:space="preserve">Figure </w:t>
      </w:r>
      <w:r w:rsidR="002B1D0F">
        <w:rPr>
          <w:rFonts w:ascii="Times New Roman" w:hAnsi="Times New Roman" w:cs="Times New Roman"/>
        </w:rPr>
        <w:t>5</w:t>
      </w:r>
    </w:p>
    <w:p w14:paraId="4159C140" w14:textId="1F55401F" w:rsidR="001B6602" w:rsidRDefault="001B6602" w:rsidP="00A51F04">
      <w:pPr>
        <w:spacing w:after="0"/>
        <w:jc w:val="center"/>
        <w:rPr>
          <w:rFonts w:ascii="Times New Roman" w:hAnsi="Times New Roman" w:cs="Times New Roman"/>
        </w:rPr>
      </w:pPr>
      <w:r>
        <w:rPr>
          <w:rFonts w:ascii="Times New Roman" w:hAnsi="Times New Roman" w:cs="Times New Roman"/>
        </w:rPr>
        <w:t>CES vs UI Job Holding for Ohio</w:t>
      </w:r>
    </w:p>
    <w:p w14:paraId="2489AD0C" w14:textId="77777777" w:rsidR="00A51F04" w:rsidRDefault="00A51F04" w:rsidP="00A51F04">
      <w:pPr>
        <w:spacing w:after="0"/>
        <w:jc w:val="center"/>
        <w:rPr>
          <w:rFonts w:ascii="Times New Roman" w:hAnsi="Times New Roman" w:cs="Times New Roman"/>
        </w:rPr>
      </w:pPr>
    </w:p>
    <w:p w14:paraId="2B579595" w14:textId="77777777" w:rsidR="001B6602" w:rsidRDefault="001B6602" w:rsidP="001B6602">
      <w:pPr>
        <w:jc w:val="both"/>
        <w:rPr>
          <w:rFonts w:ascii="Times New Roman" w:hAnsi="Times New Roman" w:cs="Times New Roman"/>
        </w:rPr>
      </w:pPr>
      <w:r>
        <w:rPr>
          <w:noProof/>
        </w:rPr>
        <w:drawing>
          <wp:inline distT="0" distB="0" distL="0" distR="0" wp14:anchorId="5FE06C79" wp14:editId="1E712356">
            <wp:extent cx="4791808" cy="2743200"/>
            <wp:effectExtent l="0" t="0" r="8890" b="0"/>
            <wp:docPr id="23" name="Chart 23" descr="Chart shows Ohio UI data shows more jobs held than data from CES." title="Job holding in Ohio versus naional C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124D18" w14:textId="621AFEA1" w:rsidR="001B6602" w:rsidRDefault="00A51F04" w:rsidP="001B6602">
      <w:pPr>
        <w:jc w:val="both"/>
        <w:rPr>
          <w:rFonts w:ascii="Times New Roman" w:hAnsi="Times New Roman" w:cs="Times New Roman"/>
        </w:rPr>
      </w:pPr>
      <w:r>
        <w:rPr>
          <w:rFonts w:ascii="Times New Roman" w:hAnsi="Times New Roman" w:cs="Times New Roman"/>
        </w:rPr>
        <w:t xml:space="preserve">To reduce that reference period distortion, we have taken the highest monthly figure during a quarter for Ohio employment from the CES and used that to adjust the CES monthly data to a quarterly value that should more closely align with the UI data.  </w:t>
      </w:r>
      <w:r w:rsidR="001B6602">
        <w:rPr>
          <w:rFonts w:ascii="Times New Roman" w:hAnsi="Times New Roman" w:cs="Times New Roman"/>
        </w:rPr>
        <w:t>We used a four-quarter moving average to smooth the CES quarterly data as we did for the UI jobs data.  The gap between UI employed and UI jobs held reflects multiple job holding during a quarter.</w:t>
      </w:r>
    </w:p>
    <w:p w14:paraId="200291EB" w14:textId="77777777" w:rsidR="00453EB7" w:rsidRDefault="001B6602" w:rsidP="00453EB7">
      <w:pPr>
        <w:jc w:val="both"/>
        <w:rPr>
          <w:rFonts w:ascii="Times New Roman" w:hAnsi="Times New Roman" w:cs="Times New Roman"/>
        </w:rPr>
      </w:pPr>
      <w:r>
        <w:rPr>
          <w:rFonts w:ascii="Times New Roman" w:hAnsi="Times New Roman" w:cs="Times New Roman"/>
        </w:rPr>
        <w:t xml:space="preserve">We also see seasonality in what we call the Earnings Accrual Rate in Figure </w:t>
      </w:r>
      <w:r w:rsidR="002B1D0F">
        <w:rPr>
          <w:rFonts w:ascii="Times New Roman" w:hAnsi="Times New Roman" w:cs="Times New Roman"/>
        </w:rPr>
        <w:t>6</w:t>
      </w:r>
      <w:r>
        <w:rPr>
          <w:rFonts w:ascii="Times New Roman" w:hAnsi="Times New Roman" w:cs="Times New Roman"/>
        </w:rPr>
        <w:t xml:space="preserve">.  For this rate, we compute total earnings on all </w:t>
      </w:r>
      <w:r w:rsidR="00453EB7">
        <w:rPr>
          <w:rFonts w:ascii="Times New Roman" w:hAnsi="Times New Roman" w:cs="Times New Roman"/>
        </w:rPr>
        <w:t xml:space="preserve">UI </w:t>
      </w:r>
      <w:r>
        <w:rPr>
          <w:rFonts w:ascii="Times New Roman" w:hAnsi="Times New Roman" w:cs="Times New Roman"/>
        </w:rPr>
        <w:t xml:space="preserve">jobs for persons gaining employment in a quarter as a percentage of total </w:t>
      </w:r>
      <w:r w:rsidR="00453EB7">
        <w:rPr>
          <w:rFonts w:ascii="Times New Roman" w:hAnsi="Times New Roman" w:cs="Times New Roman"/>
        </w:rPr>
        <w:t xml:space="preserve">UI </w:t>
      </w:r>
      <w:r>
        <w:rPr>
          <w:rFonts w:ascii="Times New Roman" w:hAnsi="Times New Roman" w:cs="Times New Roman"/>
        </w:rPr>
        <w:t>earnings on all jobs for persons who were employed the previous quarter.</w:t>
      </w:r>
      <w:r w:rsidR="00453EB7">
        <w:rPr>
          <w:rFonts w:ascii="Times New Roman" w:hAnsi="Times New Roman" w:cs="Times New Roman"/>
        </w:rPr>
        <w:t xml:space="preserve">  The Earnings Accrual Rate shows aggregate earnings for persons moving from not employed the previous quarter to being employed in the current quarter as a percentage of total earnings for all workers in the previous quarter.  The troughs in the first quarter are unmistakable along with a sharp recovery in the second quarter.  This pattern reflects the relatively small accrual of new jobs after the fourth quarter followed by a sharp upturn in the spring.</w:t>
      </w:r>
    </w:p>
    <w:p w14:paraId="0B247501" w14:textId="32C39943" w:rsidR="001B6602" w:rsidRDefault="001B6602" w:rsidP="001B6602">
      <w:pPr>
        <w:jc w:val="both"/>
        <w:rPr>
          <w:rFonts w:ascii="Times New Roman" w:hAnsi="Times New Roman" w:cs="Times New Roman"/>
        </w:rPr>
      </w:pPr>
    </w:p>
    <w:p w14:paraId="73A5F414" w14:textId="77777777" w:rsidR="004021BD" w:rsidRDefault="004021BD">
      <w:pPr>
        <w:rPr>
          <w:rFonts w:ascii="Times New Roman" w:hAnsi="Times New Roman" w:cs="Times New Roman"/>
        </w:rPr>
      </w:pPr>
      <w:r>
        <w:rPr>
          <w:rFonts w:ascii="Times New Roman" w:hAnsi="Times New Roman" w:cs="Times New Roman"/>
        </w:rPr>
        <w:br w:type="page"/>
      </w:r>
    </w:p>
    <w:p w14:paraId="10A94E54" w14:textId="000AF279" w:rsidR="001B6602" w:rsidRDefault="001B6602" w:rsidP="001B6602">
      <w:pPr>
        <w:spacing w:after="0"/>
        <w:jc w:val="center"/>
        <w:rPr>
          <w:rFonts w:ascii="Times New Roman" w:hAnsi="Times New Roman" w:cs="Times New Roman"/>
        </w:rPr>
      </w:pPr>
      <w:r>
        <w:rPr>
          <w:rFonts w:ascii="Times New Roman" w:hAnsi="Times New Roman" w:cs="Times New Roman"/>
        </w:rPr>
        <w:lastRenderedPageBreak/>
        <w:t xml:space="preserve">Figure </w:t>
      </w:r>
      <w:r w:rsidR="002B1D0F">
        <w:rPr>
          <w:rFonts w:ascii="Times New Roman" w:hAnsi="Times New Roman" w:cs="Times New Roman"/>
        </w:rPr>
        <w:t>6</w:t>
      </w:r>
    </w:p>
    <w:p w14:paraId="4A2EB160" w14:textId="77777777" w:rsidR="001B6602" w:rsidRDefault="001B6602" w:rsidP="001B6602">
      <w:pPr>
        <w:jc w:val="both"/>
        <w:rPr>
          <w:rFonts w:ascii="Times New Roman" w:hAnsi="Times New Roman" w:cs="Times New Roman"/>
        </w:rPr>
      </w:pPr>
      <w:r>
        <w:rPr>
          <w:noProof/>
        </w:rPr>
        <w:drawing>
          <wp:inline distT="0" distB="0" distL="0" distR="0" wp14:anchorId="1C00DA5F" wp14:editId="7FF5F30C">
            <wp:extent cx="5514449" cy="2743200"/>
            <wp:effectExtent l="0" t="0" r="10160" b="0"/>
            <wp:docPr id="20" name="Chart 20" descr="This chart shows a strong seasonal for total earnings on all jobs for persons gaining employment in a quarter as a percentage of total earnings on all jobs for persons who were employed the previous quarter." title="Earnings Accrual Rat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5786F0" w14:textId="77777777" w:rsidR="001B6602" w:rsidRDefault="001B6602" w:rsidP="001B6602">
      <w:pPr>
        <w:jc w:val="both"/>
        <w:rPr>
          <w:rFonts w:ascii="Times New Roman" w:hAnsi="Times New Roman" w:cs="Times New Roman"/>
        </w:rPr>
      </w:pPr>
    </w:p>
    <w:p w14:paraId="79977AAD" w14:textId="62945DBC" w:rsidR="001B6602" w:rsidRDefault="001B6602" w:rsidP="001B6602">
      <w:pPr>
        <w:jc w:val="both"/>
        <w:rPr>
          <w:rFonts w:ascii="Times New Roman" w:hAnsi="Times New Roman" w:cs="Times New Roman"/>
        </w:rPr>
      </w:pPr>
      <w:r>
        <w:rPr>
          <w:rFonts w:ascii="Times New Roman" w:hAnsi="Times New Roman" w:cs="Times New Roman"/>
        </w:rPr>
        <w:t xml:space="preserve">In Figure </w:t>
      </w:r>
      <w:r w:rsidR="002B1D0F">
        <w:rPr>
          <w:rFonts w:ascii="Times New Roman" w:hAnsi="Times New Roman" w:cs="Times New Roman"/>
        </w:rPr>
        <w:t>7</w:t>
      </w:r>
      <w:r>
        <w:rPr>
          <w:rFonts w:ascii="Times New Roman" w:hAnsi="Times New Roman" w:cs="Times New Roman"/>
        </w:rPr>
        <w:t>, we plot the estimated wage growth rate, annualized, with both the nominal and deflated growth rate smoothed along with the deflated wage growth rate that has not been smoothed.</w:t>
      </w:r>
    </w:p>
    <w:p w14:paraId="434A2C8B" w14:textId="23C6E138" w:rsidR="001B6602" w:rsidRDefault="001B6602" w:rsidP="001B6602">
      <w:pPr>
        <w:jc w:val="center"/>
        <w:rPr>
          <w:rFonts w:ascii="Times New Roman" w:hAnsi="Times New Roman" w:cs="Times New Roman"/>
        </w:rPr>
      </w:pPr>
      <w:r>
        <w:rPr>
          <w:rFonts w:ascii="Times New Roman" w:hAnsi="Times New Roman" w:cs="Times New Roman"/>
        </w:rPr>
        <w:t xml:space="preserve">Figure </w:t>
      </w:r>
      <w:r w:rsidR="002B1D0F">
        <w:rPr>
          <w:rFonts w:ascii="Times New Roman" w:hAnsi="Times New Roman" w:cs="Times New Roman"/>
        </w:rPr>
        <w:t>7</w:t>
      </w:r>
    </w:p>
    <w:p w14:paraId="0F9BA757" w14:textId="77777777" w:rsidR="001B6602" w:rsidRDefault="001B6602" w:rsidP="001B6602">
      <w:pPr>
        <w:jc w:val="both"/>
        <w:rPr>
          <w:rFonts w:ascii="Times New Roman" w:hAnsi="Times New Roman" w:cs="Times New Roman"/>
        </w:rPr>
      </w:pPr>
      <w:r>
        <w:rPr>
          <w:noProof/>
        </w:rPr>
        <w:drawing>
          <wp:inline distT="0" distB="0" distL="0" distR="0" wp14:anchorId="36F31A01" wp14:editId="6C8B9F5F">
            <wp:extent cx="5943600" cy="2583815"/>
            <wp:effectExtent l="0" t="0" r="0" b="6985"/>
            <wp:docPr id="21" name="Chart 21" descr="This chart shows the quarterly wage growth rate, real and nominal, before and after smoothing.  It shows a very pronounced seasonal." title="Wage grow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6F7C16" w14:textId="77777777" w:rsidR="001B6602" w:rsidRDefault="001B6602" w:rsidP="001B6602">
      <w:pPr>
        <w:jc w:val="both"/>
        <w:rPr>
          <w:rFonts w:ascii="Times New Roman" w:hAnsi="Times New Roman" w:cs="Times New Roman"/>
        </w:rPr>
      </w:pPr>
      <w:r>
        <w:rPr>
          <w:rFonts w:ascii="Times New Roman" w:hAnsi="Times New Roman" w:cs="Times New Roman"/>
        </w:rPr>
        <w:t>Again, the rather erratic, unsmoothed wage growth rate has a decided seasonal pattern, this time with troughs in the fourth quarter.  The smoothed earnings accrual rate shows almost no variation except for a temporary increase as the economy was beginning to recover from the Great Recession.</w:t>
      </w:r>
    </w:p>
    <w:p w14:paraId="0CF83CC6" w14:textId="559E31B9" w:rsidR="001B6602" w:rsidRDefault="001B6602" w:rsidP="001B6602">
      <w:pPr>
        <w:jc w:val="both"/>
        <w:rPr>
          <w:rFonts w:ascii="Times New Roman" w:hAnsi="Times New Roman" w:cs="Times New Roman"/>
        </w:rPr>
      </w:pPr>
      <w:r>
        <w:rPr>
          <w:rFonts w:ascii="Times New Roman" w:hAnsi="Times New Roman" w:cs="Times New Roman"/>
        </w:rPr>
        <w:t xml:space="preserve">The figures in this </w:t>
      </w:r>
      <w:r w:rsidR="00093E96">
        <w:rPr>
          <w:rFonts w:ascii="Times New Roman" w:hAnsi="Times New Roman" w:cs="Times New Roman"/>
        </w:rPr>
        <w:t>appendix</w:t>
      </w:r>
      <w:r>
        <w:rPr>
          <w:rFonts w:ascii="Times New Roman" w:hAnsi="Times New Roman" w:cs="Times New Roman"/>
        </w:rPr>
        <w:t xml:space="preserve"> show substantial seasonal variation in the UI earnings data across a variety of dimensions.  It is this seasonal variation that dictates that when looking at labor market outcomes for our CCMEP Wage Pathways experimental and control cases (as well as if one were to look at the general population) one should look at outcomes for four consecutive quarters to avoid misleading results driven solely by seasonal variation.  So, in our difference-in-difference design, the labor market metrics we use </w:t>
      </w:r>
      <w:r>
        <w:rPr>
          <w:rFonts w:ascii="Times New Roman" w:hAnsi="Times New Roman" w:cs="Times New Roman"/>
        </w:rPr>
        <w:lastRenderedPageBreak/>
        <w:t>for both the pre- and post-program onset time periods will cover four consecutive quarters. In this way, we avoid the misleading results that could emerge if the reference period were one or another of the “seasons” in the UI Earnings data.  Seasonality could affect control and experimental cases differentially if the employer mix in northeast Ohio differed from what is typical in the rest of the state.</w:t>
      </w:r>
    </w:p>
    <w:p w14:paraId="7C915225" w14:textId="3B11E494" w:rsidR="001B6602" w:rsidRDefault="001B6602" w:rsidP="001B6602">
      <w:pPr>
        <w:jc w:val="both"/>
        <w:rPr>
          <w:rFonts w:ascii="Times New Roman" w:hAnsi="Times New Roman" w:cs="Times New Roman"/>
        </w:rPr>
      </w:pPr>
      <w:r>
        <w:rPr>
          <w:rFonts w:ascii="Times New Roman" w:hAnsi="Times New Roman" w:cs="Times New Roman"/>
        </w:rPr>
        <w:t xml:space="preserve">After filtering the UI Earnings data with a four-quarter moving average, we obtain a time series measure of the condition of the Ohio labor market over time.  Figure </w:t>
      </w:r>
      <w:r w:rsidR="004C49AB">
        <w:rPr>
          <w:rFonts w:ascii="Times New Roman" w:hAnsi="Times New Roman" w:cs="Times New Roman"/>
        </w:rPr>
        <w:t>8</w:t>
      </w:r>
      <w:r>
        <w:rPr>
          <w:rFonts w:ascii="Times New Roman" w:hAnsi="Times New Roman" w:cs="Times New Roman"/>
        </w:rPr>
        <w:t xml:space="preserve"> shows Ohio’s constant dollar UI earnings, or real wage bill, at an annual rate from 2003 through mid-2018. </w:t>
      </w:r>
      <w:r w:rsidR="005A42DE">
        <w:rPr>
          <w:rFonts w:ascii="Times New Roman" w:hAnsi="Times New Roman" w:cs="Times New Roman"/>
        </w:rPr>
        <w:t>T</w:t>
      </w:r>
      <w:r w:rsidRPr="009D51BB">
        <w:rPr>
          <w:rFonts w:ascii="Times New Roman" w:hAnsi="Times New Roman" w:cs="Times New Roman"/>
        </w:rPr>
        <w:t>he official cyclical peak for the business cycle as set by the National Bureau of Economic Research</w:t>
      </w:r>
      <w:r w:rsidR="005A42DE">
        <w:rPr>
          <w:rFonts w:ascii="Times New Roman" w:hAnsi="Times New Roman" w:cs="Times New Roman"/>
        </w:rPr>
        <w:t xml:space="preserve"> was in the 4</w:t>
      </w:r>
      <w:r w:rsidR="005A42DE" w:rsidRPr="005A42DE">
        <w:rPr>
          <w:rFonts w:ascii="Times New Roman" w:hAnsi="Times New Roman" w:cs="Times New Roman"/>
          <w:vertAlign w:val="superscript"/>
        </w:rPr>
        <w:t>th</w:t>
      </w:r>
      <w:r w:rsidR="005A42DE">
        <w:rPr>
          <w:rFonts w:ascii="Times New Roman" w:hAnsi="Times New Roman" w:cs="Times New Roman"/>
        </w:rPr>
        <w:t xml:space="preserve"> Quarter of 2007</w:t>
      </w:r>
      <w:r>
        <w:rPr>
          <w:rFonts w:ascii="Times New Roman" w:hAnsi="Times New Roman" w:cs="Times New Roman"/>
        </w:rPr>
        <w:t xml:space="preserve">.  As one can see, UI Earnings </w:t>
      </w:r>
      <w:r w:rsidR="005A42DE">
        <w:rPr>
          <w:rFonts w:ascii="Times New Roman" w:hAnsi="Times New Roman" w:cs="Times New Roman"/>
        </w:rPr>
        <w:t xml:space="preserve">in Ohio </w:t>
      </w:r>
      <w:r>
        <w:rPr>
          <w:rFonts w:ascii="Times New Roman" w:hAnsi="Times New Roman" w:cs="Times New Roman"/>
        </w:rPr>
        <w:t>peaked about two years before the business cycle peaked.  Our smoothed UI Earnings data actually show stronger total earnings growth in our pre-onset period for WP (which we define as 2</w:t>
      </w:r>
      <w:r w:rsidRPr="00091FC6">
        <w:rPr>
          <w:rFonts w:ascii="Times New Roman" w:hAnsi="Times New Roman" w:cs="Times New Roman"/>
          <w:vertAlign w:val="superscript"/>
        </w:rPr>
        <w:t>nd</w:t>
      </w:r>
      <w:r>
        <w:rPr>
          <w:rFonts w:ascii="Times New Roman" w:hAnsi="Times New Roman" w:cs="Times New Roman"/>
        </w:rPr>
        <w:t xml:space="preserve"> Quarter 2016 through 1</w:t>
      </w:r>
      <w:r w:rsidRPr="00091FC6">
        <w:rPr>
          <w:rFonts w:ascii="Times New Roman" w:hAnsi="Times New Roman" w:cs="Times New Roman"/>
          <w:vertAlign w:val="superscript"/>
        </w:rPr>
        <w:t>st</w:t>
      </w:r>
      <w:r>
        <w:rPr>
          <w:rFonts w:ascii="Times New Roman" w:hAnsi="Times New Roman" w:cs="Times New Roman"/>
        </w:rPr>
        <w:t xml:space="preserve"> Quarter 2017) than the following four quarters.  Our difference-in-difference design described </w:t>
      </w:r>
      <w:r w:rsidR="00A51F04">
        <w:rPr>
          <w:rFonts w:ascii="Times New Roman" w:hAnsi="Times New Roman" w:cs="Times New Roman"/>
        </w:rPr>
        <w:t>in the main text</w:t>
      </w:r>
      <w:r>
        <w:rPr>
          <w:rFonts w:ascii="Times New Roman" w:hAnsi="Times New Roman" w:cs="Times New Roman"/>
        </w:rPr>
        <w:t xml:space="preserve"> will remove the effects of labor market conditions that have roughly the same impact on eligibles and ineligibles.  </w:t>
      </w:r>
    </w:p>
    <w:p w14:paraId="6E095A5D" w14:textId="3F2BBDF5" w:rsidR="001B6602" w:rsidRDefault="001B6602" w:rsidP="001B6602">
      <w:pPr>
        <w:spacing w:after="0"/>
        <w:jc w:val="center"/>
        <w:rPr>
          <w:rFonts w:ascii="Times New Roman" w:hAnsi="Times New Roman" w:cs="Times New Roman"/>
        </w:rPr>
      </w:pPr>
      <w:r>
        <w:rPr>
          <w:rFonts w:ascii="Times New Roman" w:hAnsi="Times New Roman" w:cs="Times New Roman"/>
        </w:rPr>
        <w:t xml:space="preserve">Figure </w:t>
      </w:r>
      <w:r w:rsidR="004C49AB">
        <w:rPr>
          <w:rFonts w:ascii="Times New Roman" w:hAnsi="Times New Roman" w:cs="Times New Roman"/>
        </w:rPr>
        <w:t>8</w:t>
      </w:r>
    </w:p>
    <w:p w14:paraId="77DC849D" w14:textId="311A942E" w:rsidR="001B6602" w:rsidRDefault="001B6602" w:rsidP="001B6602">
      <w:pPr>
        <w:spacing w:after="0"/>
        <w:jc w:val="center"/>
        <w:rPr>
          <w:rFonts w:ascii="Times New Roman" w:hAnsi="Times New Roman" w:cs="Times New Roman"/>
        </w:rPr>
      </w:pPr>
      <w:r>
        <w:rPr>
          <w:rFonts w:ascii="Times New Roman" w:hAnsi="Times New Roman" w:cs="Times New Roman"/>
        </w:rPr>
        <w:t>Constant Dollar Wages &amp; Salaries in Ohio, Smoothed and Annualized</w:t>
      </w:r>
    </w:p>
    <w:p w14:paraId="63B365A0" w14:textId="25515D4F" w:rsidR="00740B87" w:rsidRDefault="00740B87" w:rsidP="001B6602">
      <w:pPr>
        <w:spacing w:after="0"/>
        <w:jc w:val="center"/>
        <w:rPr>
          <w:rFonts w:ascii="Times New Roman" w:hAnsi="Times New Roman" w:cs="Times New Roman"/>
        </w:rPr>
      </w:pPr>
      <w:r>
        <w:rPr>
          <w:rFonts w:ascii="Times New Roman" w:hAnsi="Times New Roman" w:cs="Times New Roman"/>
        </w:rPr>
        <w:t xml:space="preserve">2003 </w:t>
      </w:r>
      <w:r w:rsidR="007177E2">
        <w:rPr>
          <w:rFonts w:ascii="Times New Roman" w:hAnsi="Times New Roman" w:cs="Times New Roman"/>
        </w:rPr>
        <w:t>–</w:t>
      </w:r>
      <w:r>
        <w:rPr>
          <w:rFonts w:ascii="Times New Roman" w:hAnsi="Times New Roman" w:cs="Times New Roman"/>
        </w:rPr>
        <w:t xml:space="preserve"> 2017</w:t>
      </w:r>
      <w:r w:rsidR="007177E2">
        <w:rPr>
          <w:rFonts w:ascii="Times New Roman" w:hAnsi="Times New Roman" w:cs="Times New Roman"/>
        </w:rPr>
        <w:t>, in $1000s</w:t>
      </w:r>
    </w:p>
    <w:p w14:paraId="61D86B5A" w14:textId="77777777" w:rsidR="001B6602" w:rsidRDefault="001B6602" w:rsidP="001B6602">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14:paraId="469B4053" w14:textId="63000DBA" w:rsidR="001B6602" w:rsidRPr="00AF56EA" w:rsidRDefault="007177E2" w:rsidP="001B6602">
      <w:pPr>
        <w:spacing w:after="0" w:line="240" w:lineRule="auto"/>
        <w:jc w:val="both"/>
        <w:rPr>
          <w:rFonts w:ascii="Calibri" w:eastAsia="Times New Roman" w:hAnsi="Calibri" w:cs="Calibri"/>
          <w:color w:val="000000"/>
        </w:rPr>
      </w:pPr>
      <w:r>
        <w:rPr>
          <w:noProof/>
        </w:rPr>
        <w:drawing>
          <wp:inline distT="0" distB="0" distL="0" distR="0" wp14:anchorId="141B7988" wp14:editId="4D9FE8B0">
            <wp:extent cx="5676265" cy="3803904"/>
            <wp:effectExtent l="0" t="0" r="635" b="6350"/>
            <wp:docPr id="12" name="Chart 12" descr="Shows wage bill in Ohio.  The NBER cyclical peak was in 2007; wages and salaries in Ohio peaked over a year earlier." title="Wages and Salaries in Ohio"/>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707A3F" w14:textId="77777777" w:rsidR="001B6602" w:rsidRPr="001B6602" w:rsidRDefault="001B6602" w:rsidP="001B6602"/>
    <w:p w14:paraId="0802856B" w14:textId="70080F84" w:rsidR="004512E7" w:rsidRDefault="001B6602" w:rsidP="005A42DE">
      <w:pPr>
        <w:rPr>
          <w:rFonts w:ascii="Times New Roman" w:hAnsi="Times New Roman" w:cs="Times New Roman"/>
        </w:rPr>
      </w:pPr>
      <w:r>
        <w:rPr>
          <w:rFonts w:ascii="Times New Roman" w:hAnsi="Times New Roman" w:cs="Times New Roman"/>
        </w:rPr>
        <w:br w:type="page"/>
      </w:r>
      <w:r w:rsidR="004512E7" w:rsidRPr="004512E7">
        <w:rPr>
          <w:rFonts w:ascii="Times New Roman" w:hAnsi="Times New Roman" w:cs="Times New Roman"/>
        </w:rPr>
        <w:lastRenderedPageBreak/>
        <w:t>References</w:t>
      </w:r>
    </w:p>
    <w:p w14:paraId="63C51344" w14:textId="77777777" w:rsidR="004512E7" w:rsidRDefault="004512E7" w:rsidP="004512E7"/>
    <w:p w14:paraId="1A80F6CA" w14:textId="07A16B84" w:rsidR="004512E7" w:rsidRDefault="004512E7" w:rsidP="004512E7">
      <w:r>
        <w:t xml:space="preserve">Lou, Tian; Zagorsky, Jay L.; Munn, Sunny L. and Hawley, Josh; </w:t>
      </w:r>
      <w:r w:rsidR="008A221B">
        <w:t>“</w:t>
      </w:r>
      <w:r>
        <w:t>How is Ohio’s Comprehensive Case Management and Employment Program (CCMEP) Being Implemented?  A View From Around the State,</w:t>
      </w:r>
      <w:r w:rsidR="008A221B">
        <w:t>”</w:t>
      </w:r>
      <w:r>
        <w:t>December, 2017.</w:t>
      </w:r>
    </w:p>
    <w:p w14:paraId="60886A1D" w14:textId="2C0495D8" w:rsidR="00AC2556" w:rsidRDefault="00AC2556" w:rsidP="004512E7">
      <w:r>
        <w:rPr>
          <w:rStyle w:val="reference-text"/>
        </w:rPr>
        <w:t xml:space="preserve">"Safety Nets and Transfers: CCT Program Profile - Bangladesh." World Bank. </w:t>
      </w:r>
      <w:r w:rsidR="00B761CB" w:rsidRPr="00B761CB">
        <w:t>https://siteresources.worldbank.org/INTCCT/Resources/5757608-1234228266004/PRR-CCT_web_noembargo.pdf</w:t>
      </w:r>
    </w:p>
    <w:sectPr w:rsidR="00AC2556" w:rsidSect="00157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42FF" w14:textId="77777777" w:rsidR="0015794D" w:rsidRDefault="0015794D" w:rsidP="004512E7">
      <w:pPr>
        <w:spacing w:after="0" w:line="240" w:lineRule="auto"/>
      </w:pPr>
      <w:r>
        <w:separator/>
      </w:r>
    </w:p>
  </w:endnote>
  <w:endnote w:type="continuationSeparator" w:id="0">
    <w:p w14:paraId="25B9F321" w14:textId="77777777" w:rsidR="0015794D" w:rsidRDefault="0015794D" w:rsidP="0045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Next">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897338"/>
      <w:docPartObj>
        <w:docPartGallery w:val="Page Numbers (Bottom of Page)"/>
        <w:docPartUnique/>
      </w:docPartObj>
    </w:sdtPr>
    <w:sdtEndPr>
      <w:rPr>
        <w:noProof/>
      </w:rPr>
    </w:sdtEndPr>
    <w:sdtContent>
      <w:p w14:paraId="052E0542" w14:textId="0365AB7A" w:rsidR="00C45483" w:rsidRDefault="00C45483" w:rsidP="00A82FA5">
        <w:pPr>
          <w:pStyle w:val="Footer"/>
          <w:jc w:val="center"/>
        </w:pPr>
        <w:r>
          <w:fldChar w:fldCharType="begin"/>
        </w:r>
        <w:r>
          <w:instrText xml:space="preserve"> PAGE   \* MERGEFORMAT </w:instrText>
        </w:r>
        <w:r>
          <w:fldChar w:fldCharType="separate"/>
        </w:r>
        <w:r w:rsidR="00AC11BC">
          <w:rPr>
            <w:noProof/>
          </w:rPr>
          <w:t>42</w:t>
        </w:r>
        <w:r>
          <w:rPr>
            <w:noProof/>
          </w:rPr>
          <w:fldChar w:fldCharType="end"/>
        </w:r>
      </w:p>
    </w:sdtContent>
  </w:sdt>
  <w:p w14:paraId="63CBC5A2" w14:textId="4661169A" w:rsidR="00C45483" w:rsidRDefault="00C4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28D2" w14:textId="77777777" w:rsidR="0015794D" w:rsidRDefault="0015794D" w:rsidP="004512E7">
      <w:pPr>
        <w:spacing w:after="0" w:line="240" w:lineRule="auto"/>
      </w:pPr>
      <w:r>
        <w:separator/>
      </w:r>
    </w:p>
  </w:footnote>
  <w:footnote w:type="continuationSeparator" w:id="0">
    <w:p w14:paraId="30C8F7BB" w14:textId="77777777" w:rsidR="0015794D" w:rsidRDefault="0015794D" w:rsidP="004512E7">
      <w:pPr>
        <w:spacing w:after="0" w:line="240" w:lineRule="auto"/>
      </w:pPr>
      <w:r>
        <w:continuationSeparator/>
      </w:r>
    </w:p>
  </w:footnote>
  <w:footnote w:id="1">
    <w:p w14:paraId="766C98D9" w14:textId="5769DFDC" w:rsidR="00C45483" w:rsidRDefault="00C45483" w:rsidP="004A63BA">
      <w:pPr>
        <w:pStyle w:val="Default"/>
      </w:pPr>
      <w:r>
        <w:rPr>
          <w:rStyle w:val="FootnoteReference"/>
        </w:rPr>
        <w:footnoteRef/>
      </w:r>
      <w:r>
        <w:t xml:space="preserve"> Corresponding author.  </w:t>
      </w:r>
      <w:hyperlink r:id="rId1" w:history="1">
        <w:r w:rsidRPr="00607243">
          <w:rPr>
            <w:rStyle w:val="Hyperlink"/>
          </w:rPr>
          <w:t>Olsen.6@osu.edu</w:t>
        </w:r>
      </w:hyperlink>
      <w:r>
        <w:t xml:space="preserve"> .   </w:t>
      </w:r>
      <w:r w:rsidRPr="004A63BA">
        <w:t>"Report on the Evaluation of Ohio’s Wage Pathways Program" by Randall J. Olsen et al is licensed under CC BY 4.0.</w:t>
      </w:r>
      <w:r>
        <w:t xml:space="preserve">  This report was funded with Federal funds under a grant awarded by the U.S. Department of Labor’s Employment and Training Administration. The content of this publications does not necessarily reflect the views or the policies of the U.S. Department of Labor, nor does mention of trade names, commercial products, or organizations imply any endorsement of same by the U.S. Government.</w:t>
      </w:r>
    </w:p>
  </w:footnote>
  <w:footnote w:id="2">
    <w:p w14:paraId="53A892B1" w14:textId="77777777" w:rsidR="00C45483" w:rsidRDefault="00C45483">
      <w:pPr>
        <w:pStyle w:val="FootnoteText"/>
      </w:pPr>
      <w:r>
        <w:rPr>
          <w:rStyle w:val="FootnoteReference"/>
        </w:rPr>
        <w:footnoteRef/>
      </w:r>
      <w:r>
        <w:t xml:space="preserve"> Ohio Administrative Code 5101:14-1-02.  The statue specified 14 services CCMEP should deliver.  Wage Pathways is a 15</w:t>
      </w:r>
      <w:r w:rsidRPr="002132EB">
        <w:rPr>
          <w:vertAlign w:val="superscript"/>
        </w:rPr>
        <w:t>th</w:t>
      </w:r>
      <w:r>
        <w:t>, experimental, service not covered by statute.</w:t>
      </w:r>
    </w:p>
  </w:footnote>
  <w:footnote w:id="3">
    <w:p w14:paraId="5A5AAA22" w14:textId="6BA79602" w:rsidR="00C45483" w:rsidRDefault="00C45483">
      <w:pPr>
        <w:pStyle w:val="FootnoteText"/>
      </w:pPr>
      <w:r>
        <w:rPr>
          <w:rStyle w:val="FootnoteReference"/>
        </w:rPr>
        <w:footnoteRef/>
      </w:r>
      <w:r>
        <w:t xml:space="preserve"> The Department of Agriculture funds SNAP.  SNAP is not one of the statutory benefits under CCMEP.  However, case workers attempt to enroll clients in whatever program will enhance client success.  So, while a separate program, from the client’s perspective, SNAP is one of the benefits the CCMEP case manager offers.</w:t>
      </w:r>
    </w:p>
  </w:footnote>
  <w:footnote w:id="4">
    <w:p w14:paraId="05105FCE" w14:textId="733BB0C0" w:rsidR="00C45483" w:rsidRDefault="00C45483">
      <w:pPr>
        <w:pStyle w:val="FootnoteText"/>
      </w:pPr>
      <w:r>
        <w:rPr>
          <w:rStyle w:val="FootnoteReference"/>
        </w:rPr>
        <w:footnoteRef/>
      </w:r>
      <w:r>
        <w:t xml:space="preserve"> This larger team includes staff at the Center for Human Resource Research (CHRR), the OERC and the John Glenn College of Public Affairs.  While nominally housed in different parts of the university, these staff members work closely with one another and jointly manage and maintain the Ohio Longitudinal Data Archive, which houses the administrative data resources that both the WP and CCMEP evaluation efforts use extensively.</w:t>
      </w:r>
    </w:p>
  </w:footnote>
  <w:footnote w:id="5">
    <w:p w14:paraId="60380A98" w14:textId="3AEA03FA" w:rsidR="00C45483" w:rsidRDefault="00C45483" w:rsidP="004512E7">
      <w:pPr>
        <w:pStyle w:val="FootnoteText"/>
      </w:pPr>
      <w:r>
        <w:rPr>
          <w:rStyle w:val="FootnoteReference"/>
        </w:rPr>
        <w:footnoteRef/>
      </w:r>
      <w:r>
        <w:t xml:space="preserve"> The implementation of the CCMEP program and how counties viewed it differed across Ohio.  A report by Lou et al. “How is Ohio’s Comprehensive Case Management and Employment Program (CCMEP) Being Implemented?  A View from Around the State”, December, 2017, describes that process and those differences.</w:t>
      </w:r>
    </w:p>
  </w:footnote>
  <w:footnote w:id="6">
    <w:p w14:paraId="26F43253" w14:textId="0E2045C4" w:rsidR="00C45483" w:rsidRDefault="00C45483">
      <w:pPr>
        <w:pStyle w:val="FootnoteText"/>
      </w:pPr>
      <w:r>
        <w:rPr>
          <w:rStyle w:val="FootnoteReference"/>
        </w:rPr>
        <w:footnoteRef/>
      </w:r>
      <w:r>
        <w:t xml:space="preserve"> Implementing CCMEP involved systems work, some of which was particular to CCMEP.  WP had additional delays because the State of Ohio and Cuyahoga and Summit Counties had to negotiate contracts and the scope of work changed from what the counties originally envisioned.</w:t>
      </w:r>
    </w:p>
  </w:footnote>
  <w:footnote w:id="7">
    <w:p w14:paraId="013B592C" w14:textId="77777777" w:rsidR="00C45483" w:rsidRDefault="00C45483">
      <w:pPr>
        <w:pStyle w:val="FootnoteText"/>
      </w:pPr>
      <w:r>
        <w:rPr>
          <w:rStyle w:val="FootnoteReference"/>
        </w:rPr>
        <w:footnoteRef/>
      </w:r>
      <w:r>
        <w:t xml:space="preserve"> Assistance programs often phase out benefits with rising income and often that means that these clients face high implicit tax rates in the vicinity of incomes that require the phasing out of benefits.</w:t>
      </w:r>
    </w:p>
  </w:footnote>
  <w:footnote w:id="8">
    <w:p w14:paraId="5CD8973E" w14:textId="77777777" w:rsidR="00C45483" w:rsidRPr="00664B34" w:rsidRDefault="00C45483">
      <w:pPr>
        <w:pStyle w:val="FootnoteText"/>
      </w:pPr>
      <w:r>
        <w:rPr>
          <w:rStyle w:val="FootnoteReference"/>
        </w:rPr>
        <w:footnoteRef/>
      </w:r>
      <w:r>
        <w:t xml:space="preserve"> </w:t>
      </w:r>
      <w:r w:rsidRPr="00664B34">
        <w:rPr>
          <w:rStyle w:val="HTMLCite"/>
          <w:i w:val="0"/>
        </w:rPr>
        <w:t>Neyman, J.; Pearson, E. S. (1933-02-16). "IX. On the problem of the most efficient tests of statistical hypotheses".</w:t>
      </w:r>
      <w:r w:rsidRPr="00664B34">
        <w:rPr>
          <w:rStyle w:val="HTMLCite"/>
        </w:rPr>
        <w:t xml:space="preserve"> Phil. Trans. R. Soc. Lond. A. </w:t>
      </w:r>
      <w:r w:rsidRPr="00664B34">
        <w:rPr>
          <w:rStyle w:val="HTMLCite"/>
          <w:b/>
          <w:bCs/>
          <w:i w:val="0"/>
        </w:rPr>
        <w:t>231</w:t>
      </w:r>
      <w:r w:rsidRPr="00664B34">
        <w:rPr>
          <w:rStyle w:val="HTMLCite"/>
          <w:i w:val="0"/>
        </w:rPr>
        <w:t xml:space="preserve"> (694–706): 289–337.</w:t>
      </w:r>
    </w:p>
  </w:footnote>
  <w:footnote w:id="9">
    <w:p w14:paraId="7C2F1072" w14:textId="77777777" w:rsidR="00C45483" w:rsidRPr="00664B34" w:rsidRDefault="00C45483">
      <w:pPr>
        <w:pStyle w:val="FootnoteText"/>
      </w:pPr>
      <w:r w:rsidRPr="00664B34">
        <w:rPr>
          <w:rStyle w:val="FootnoteReference"/>
        </w:rPr>
        <w:footnoteRef/>
      </w:r>
      <w:r w:rsidRPr="00664B34">
        <w:t xml:space="preserve"> National Research Council. 2013. </w:t>
      </w:r>
      <w:r w:rsidRPr="00664B34">
        <w:rPr>
          <w:i/>
          <w:iCs/>
        </w:rPr>
        <w:t>Nonresponse in Social Science Surveys: A Research Agenda</w:t>
      </w:r>
      <w:r w:rsidRPr="00664B34">
        <w:t>. Washington, DC: The National Academies Press.</w:t>
      </w:r>
    </w:p>
  </w:footnote>
  <w:footnote w:id="10">
    <w:p w14:paraId="3496D270" w14:textId="77777777" w:rsidR="00C45483" w:rsidRDefault="00C45483">
      <w:pPr>
        <w:pStyle w:val="FootnoteText"/>
      </w:pPr>
      <w:r>
        <w:rPr>
          <w:rStyle w:val="FootnoteReference"/>
        </w:rPr>
        <w:footnoteRef/>
      </w:r>
      <w:r>
        <w:t xml:space="preserve"> This data source contains wage payments, not wage rates.</w:t>
      </w:r>
    </w:p>
  </w:footnote>
  <w:footnote w:id="11">
    <w:p w14:paraId="1913D141" w14:textId="5489631B" w:rsidR="00C45483" w:rsidRPr="00664B34" w:rsidRDefault="00C45483">
      <w:pPr>
        <w:pStyle w:val="FootnoteText"/>
      </w:pPr>
      <w:r w:rsidRPr="00664B34">
        <w:rPr>
          <w:rStyle w:val="FootnoteReference"/>
        </w:rPr>
        <w:footnoteRef/>
      </w:r>
      <w:r w:rsidRPr="00664B34">
        <w:t xml:space="preserve"> Restricting earnings detail to only five employers captures the </w:t>
      </w:r>
      <w:r>
        <w:t xml:space="preserve">vast majority of covered employment.  Because we also include total quarterly earnings as a variable, we track all earnings even if we only identify the five employers that provided the worker the most earnings.  Readers can examine the metadata for the UI Earnings file at </w:t>
      </w:r>
      <w:r w:rsidRPr="00B761CB">
        <w:t>https://www.chrr.ohio-state.edu/investigator/pages/search.jsp</w:t>
      </w:r>
      <w:r>
        <w:t xml:space="preserve"> .  The study is Ohio Longitudinal Data Archive – Metadata, and the substudy is ODJFS – UI Wages All Quarters Metadata.</w:t>
      </w:r>
    </w:p>
  </w:footnote>
  <w:footnote w:id="12">
    <w:p w14:paraId="284F77CB" w14:textId="77777777" w:rsidR="00C45483" w:rsidRDefault="00C45483" w:rsidP="009B1E08">
      <w:pPr>
        <w:spacing w:after="0" w:line="240" w:lineRule="auto"/>
      </w:pPr>
      <w:r>
        <w:rPr>
          <w:rStyle w:val="FootnoteReference"/>
        </w:rPr>
        <w:footnoteRef/>
      </w:r>
      <w:r>
        <w:t xml:space="preserve"> </w:t>
      </w:r>
      <w:r w:rsidRPr="00E779B2">
        <w:rPr>
          <w:sz w:val="20"/>
          <w:szCs w:val="20"/>
        </w:rPr>
        <w:t>Hotz, V. J., &amp; Scholz, J. K. (2002). Measuring employment and income for low-income populations with administrative and survey data. </w:t>
      </w:r>
      <w:r w:rsidRPr="00E779B2">
        <w:rPr>
          <w:i/>
          <w:sz w:val="20"/>
          <w:szCs w:val="20"/>
        </w:rPr>
        <w:t>Studies of welfare populations: Data collection and research issues</w:t>
      </w:r>
      <w:r w:rsidRPr="00E779B2">
        <w:rPr>
          <w:sz w:val="20"/>
          <w:szCs w:val="20"/>
        </w:rPr>
        <w:t>, 275-315.</w:t>
      </w:r>
    </w:p>
  </w:footnote>
  <w:footnote w:id="13">
    <w:p w14:paraId="0BB35DAC" w14:textId="3FD2EFE5" w:rsidR="00C45483" w:rsidRDefault="00C45483">
      <w:pPr>
        <w:pStyle w:val="FootnoteText"/>
      </w:pPr>
      <w:r>
        <w:rPr>
          <w:rStyle w:val="FootnoteReference"/>
        </w:rPr>
        <w:footnoteRef/>
      </w:r>
      <w:r>
        <w:t xml:space="preserve"> Some CCMEP enrollees left Ohio subsequent to their CCMEP enrollment.  In the follow-on surveys, we asked the respondents for their address, primarily to send them an incentive for completing the survey.  If anyone left Ohio as of the first follow-on survey, we did not request completion of the second follow-on survey.  Based on reported addresses at the first follow-on survey, a little more than 1% of CCMEP enrollees left Ohio after their enrollment. </w:t>
      </w:r>
    </w:p>
  </w:footnote>
  <w:footnote w:id="14">
    <w:p w14:paraId="7B1D486D" w14:textId="77777777" w:rsidR="00C45483" w:rsidRDefault="00C45483">
      <w:pPr>
        <w:pStyle w:val="FootnoteText"/>
      </w:pPr>
      <w:r>
        <w:rPr>
          <w:rStyle w:val="FootnoteReference"/>
        </w:rPr>
        <w:footnoteRef/>
      </w:r>
      <w:r>
        <w:t xml:space="preserve"> These tables show the codebook pages in the OLDA for these variables.</w:t>
      </w:r>
    </w:p>
  </w:footnote>
  <w:footnote w:id="15">
    <w:p w14:paraId="6279336B" w14:textId="03511540" w:rsidR="00C45483" w:rsidRDefault="00C45483">
      <w:pPr>
        <w:pStyle w:val="FootnoteText"/>
      </w:pPr>
      <w:r>
        <w:rPr>
          <w:rStyle w:val="FootnoteReference"/>
        </w:rPr>
        <w:footnoteRef/>
      </w:r>
      <w:r>
        <w:t xml:space="preserve"> </w:t>
      </w:r>
      <w:r w:rsidRPr="005A7125">
        <w:t xml:space="preserve">Blanks or absence of a TANF/SNAP record need to result in a value of 0 for this </w:t>
      </w:r>
      <w:r>
        <w:t xml:space="preserve">and the following </w:t>
      </w:r>
      <w:r w:rsidRPr="005A7125">
        <w:t>variable.  This infilling can only take place after the various data sets are combined with the CCMEP enrollment data or by an action when merging.  This duration can include time in a TANF assistance group when youth was a minor.</w:t>
      </w:r>
    </w:p>
  </w:footnote>
  <w:footnote w:id="16">
    <w:p w14:paraId="2D707F9A" w14:textId="141FCD9A" w:rsidR="00C45483" w:rsidRDefault="00C45483">
      <w:pPr>
        <w:pStyle w:val="FootnoteText"/>
      </w:pPr>
      <w:r>
        <w:rPr>
          <w:rStyle w:val="FootnoteReference"/>
        </w:rPr>
        <w:footnoteRef/>
      </w:r>
      <w:r>
        <w:t xml:space="preserve"> OLDA suppresses day of birth to protect confidentiality.  </w:t>
      </w:r>
    </w:p>
  </w:footnote>
  <w:footnote w:id="17">
    <w:p w14:paraId="4FDBF01D" w14:textId="59B8B448" w:rsidR="00C45483" w:rsidRDefault="00C45483">
      <w:pPr>
        <w:pStyle w:val="FootnoteText"/>
      </w:pPr>
      <w:r>
        <w:rPr>
          <w:rStyle w:val="FootnoteReference"/>
        </w:rPr>
        <w:footnoteRef/>
      </w:r>
      <w:r>
        <w:t xml:space="preserve"> See Figure 2 for a county map of Ohio.</w:t>
      </w:r>
    </w:p>
  </w:footnote>
  <w:footnote w:id="18">
    <w:p w14:paraId="43977914" w14:textId="77777777" w:rsidR="00C45483" w:rsidRDefault="00C45483">
      <w:pPr>
        <w:pStyle w:val="FootnoteText"/>
      </w:pPr>
      <w:r>
        <w:rPr>
          <w:rStyle w:val="FootnoteReference"/>
        </w:rPr>
        <w:footnoteRef/>
      </w:r>
      <w:r>
        <w:t xml:space="preserve"> While this clustering creates analytical problems, the WP program stresses close coordination between case managers and employers so as to improve job retention, skill advancement and ultimate self-sufficiency.  Having WP counties clustered in northeast Ohio made it easier for participating counties collaborate in maintaining a connection with employers who hired WP participants.</w:t>
      </w:r>
    </w:p>
  </w:footnote>
  <w:footnote w:id="19">
    <w:p w14:paraId="697014E9" w14:textId="2665B5FE" w:rsidR="00C45483" w:rsidRDefault="00C45483" w:rsidP="003543C2">
      <w:pPr>
        <w:pStyle w:val="FootnoteText"/>
      </w:pPr>
      <w:r>
        <w:rPr>
          <w:rStyle w:val="FootnoteReference"/>
        </w:rPr>
        <w:footnoteRef/>
      </w:r>
      <w:r>
        <w:t xml:space="preserve"> In addition, the youth must be TANF or WIOA-eligible – preconditions of the CCMEP program.  TANF or WIOA eligibility is not unique to Wage Pathways eligibles.</w:t>
      </w:r>
    </w:p>
  </w:footnote>
  <w:footnote w:id="20">
    <w:p w14:paraId="0BDF27F5" w14:textId="77777777" w:rsidR="00C45483" w:rsidRDefault="00C45483" w:rsidP="003543C2">
      <w:pPr>
        <w:pStyle w:val="FootnoteText"/>
      </w:pPr>
      <w:r>
        <w:rPr>
          <w:rStyle w:val="FootnoteReference"/>
        </w:rPr>
        <w:footnoteRef/>
      </w:r>
      <w:r>
        <w:t xml:space="preserve"> A person born in 1994 would turn 23 sometime in 2017 and hence could have been “treated” in the second half of 2017 and part of 2018.  A person born in 1999 would have turned 18 sometime in 2017 and could have been treated in the second half of 2017 through the projected end of the program September 30, 2019.</w:t>
      </w:r>
    </w:p>
  </w:footnote>
  <w:footnote w:id="21">
    <w:p w14:paraId="0B0C9868" w14:textId="77777777" w:rsidR="00C45483" w:rsidRDefault="00C45483">
      <w:pPr>
        <w:pStyle w:val="FootnoteText"/>
      </w:pPr>
      <w:r>
        <w:rPr>
          <w:rStyle w:val="FootnoteReference"/>
        </w:rPr>
        <w:footnoteRef/>
      </w:r>
      <w:r>
        <w:t xml:space="preserve"> It uses as an input the North American Industrial Classification System or NAICS code.</w:t>
      </w:r>
    </w:p>
  </w:footnote>
  <w:footnote w:id="22">
    <w:p w14:paraId="7D3F7C4F" w14:textId="7A9CC165" w:rsidR="00C45483" w:rsidRDefault="00C45483">
      <w:pPr>
        <w:pStyle w:val="FootnoteText"/>
      </w:pPr>
      <w:r>
        <w:rPr>
          <w:rStyle w:val="FootnoteReference"/>
        </w:rPr>
        <w:footnoteRef/>
      </w:r>
      <w:r>
        <w:t xml:space="preserve"> If the match score for an occupation was relatively poor, we did not present it.</w:t>
      </w:r>
    </w:p>
  </w:footnote>
  <w:footnote w:id="23">
    <w:p w14:paraId="31595754" w14:textId="21CECD28" w:rsidR="00C45483" w:rsidRDefault="00C45483">
      <w:pPr>
        <w:pStyle w:val="FootnoteText"/>
      </w:pPr>
      <w:r>
        <w:rPr>
          <w:rStyle w:val="FootnoteReference"/>
        </w:rPr>
        <w:footnoteRef/>
      </w:r>
      <w:r>
        <w:t xml:space="preserve"> We suppress counts for cells with from one to nine observations in this and the next table.</w:t>
      </w:r>
    </w:p>
  </w:footnote>
  <w:footnote w:id="24">
    <w:p w14:paraId="0790DB30" w14:textId="29DDA4C8" w:rsidR="00C45483" w:rsidRDefault="00C45483" w:rsidP="00D11161">
      <w:pPr>
        <w:pStyle w:val="FootnoteText"/>
      </w:pPr>
      <w:r>
        <w:rPr>
          <w:rStyle w:val="FootnoteReference"/>
        </w:rPr>
        <w:footnoteRef/>
      </w:r>
      <w:r>
        <w:t xml:space="preserve"> The Amazon gift card was actually a certificate ID we sent to the respondent’s mobile phone.  They could use this code  towards the purchase of something from Amazon.  Some of the respondents did not have a regular address we could mail to, so for those respondents an Amazon card was the only alternative of the three methods for delivering incentives when mailing the incentive was not possible.  Of the 2250 respondents in Wave 1, 1093 requested Amazon certificates, 923 Walmart cards and 234 McDonald’s cards.  Some respondents requested Walmart or McDonald’s cards, but their address was bad so we needed to replace those cards by texting an Amazon certificate.</w:t>
      </w:r>
    </w:p>
  </w:footnote>
  <w:footnote w:id="25">
    <w:p w14:paraId="5B3576E9" w14:textId="1B0BE86C" w:rsidR="00C45483" w:rsidRDefault="00C45483">
      <w:pPr>
        <w:pStyle w:val="FootnoteText"/>
      </w:pPr>
      <w:r>
        <w:rPr>
          <w:rStyle w:val="FootnoteReference"/>
        </w:rPr>
        <w:footnoteRef/>
      </w:r>
      <w:r>
        <w:t xml:space="preserve"> Whereas many states have agencies controlled by their directors with county offices clearly subordinate to state leadership, in Ohio counties have significant autonomy over how they locally administer state programs.  For the WP experiment, the state could encourage counties to offer the program but could not direct counties to participate.  A pure random assignment approach to eligible versus ineligible clients needed county-level approval.  Concern over the optics of otherwise identical clients being offered very different services in the local offices made random assignment unacceptable.  The evaluation team focused on creating an evaluation strategy that was as good as possible given these constraints.</w:t>
      </w:r>
    </w:p>
  </w:footnote>
  <w:footnote w:id="26">
    <w:p w14:paraId="2D1FA482" w14:textId="77777777" w:rsidR="00C45483" w:rsidRDefault="00C45483" w:rsidP="00532154">
      <w:pPr>
        <w:pStyle w:val="FootnoteText"/>
      </w:pPr>
      <w:r>
        <w:rPr>
          <w:rStyle w:val="FootnoteReference"/>
        </w:rPr>
        <w:footnoteRef/>
      </w:r>
      <w:r>
        <w:t xml:space="preserve"> The PRC program provides for non-recurring, short-term, crisis-oriented benefits and services to divert families from cash assistance with short-term help in overcoming acute, as opposed to chronic, factors that threaten to </w:t>
      </w:r>
      <w:r w:rsidRPr="0046720B">
        <w:t>overwhelm the family.  Counties can use such services or assistance to help a family member retain their</w:t>
      </w:r>
      <w:r>
        <w:t xml:space="preserve"> employment.  Contingency services aim to meet an emergent need that threatens the safety, health or well-being of one or more family members. </w:t>
      </w:r>
    </w:p>
  </w:footnote>
  <w:footnote w:id="27">
    <w:p w14:paraId="31F6DD3A" w14:textId="3FF88F83" w:rsidR="00C45483" w:rsidRDefault="00C45483">
      <w:pPr>
        <w:pStyle w:val="FootnoteText"/>
      </w:pPr>
      <w:r>
        <w:rPr>
          <w:rStyle w:val="FootnoteReference"/>
        </w:rPr>
        <w:footnoteRef/>
      </w:r>
      <w:r>
        <w:t xml:space="preserve"> Many workers hold multiple jobs.  Overall, for all Ohio workers, for every 100 persons holding at least one job during a quarter, they collectively hold about 114 jobs.  Among those in CCMEP, the latter number is about 110. </w:t>
      </w:r>
    </w:p>
  </w:footnote>
  <w:footnote w:id="28">
    <w:p w14:paraId="6691D747" w14:textId="77777777" w:rsidR="00C45483" w:rsidRDefault="00C45483">
      <w:pPr>
        <w:pStyle w:val="FootnoteText"/>
      </w:pPr>
      <w:r>
        <w:rPr>
          <w:rStyle w:val="FootnoteReference"/>
        </w:rPr>
        <w:footnoteRef/>
      </w:r>
      <w:r>
        <w:t xml:space="preserve"> Offering incentive payments to encourage people to do what is in their own self-interest is not a new idea.  New York City launched a Conditional Cash Transfer (CCT) program in 2007.  With World Bank support, Bangladesh instituted a CCT aimed at girls in grades 6 to 10 who remained in school, got passing grades and remained unmarried.  The payments combined a stipend deposited in a bank in the girl’s name, payments to defray the girl’s school expenses, and tuition and other support to the school.</w:t>
      </w:r>
    </w:p>
  </w:footnote>
  <w:footnote w:id="29">
    <w:p w14:paraId="03FCBD80" w14:textId="4DAEA8FC" w:rsidR="00C45483" w:rsidRDefault="00C45483">
      <w:pPr>
        <w:pStyle w:val="FootnoteText"/>
      </w:pPr>
      <w:r>
        <w:rPr>
          <w:rStyle w:val="FootnoteReference"/>
        </w:rPr>
        <w:footnoteRef/>
      </w:r>
      <w:r>
        <w:t xml:space="preserve"> While we have access to matched post-secondary education and training data provided in state-supported institutions, legal constraints on the state holding Social Security numbers make it impossible to match in K-12 educational data.  Very few CCMEP enroll in state-supported post-secondary education and training, so restricting analysis to those with post-secondary education and training would severely limit sample size as well restrict us to an unusual set of CCMEP participants.</w:t>
      </w:r>
    </w:p>
  </w:footnote>
  <w:footnote w:id="30">
    <w:p w14:paraId="11FE90E6" w14:textId="5BF99D59" w:rsidR="00C45483" w:rsidRDefault="00C45483">
      <w:pPr>
        <w:pStyle w:val="FootnoteText"/>
      </w:pPr>
      <w:r>
        <w:rPr>
          <w:rStyle w:val="FootnoteReference"/>
        </w:rPr>
        <w:footnoteRef/>
      </w:r>
      <w:r>
        <w:t xml:space="preserve"> This is not exactly the Mincerian return as we cannot measure education for our merged UI Earnings and BMV data.  Moreover, we omit the square of experience as these workers are far from the overtaking age.</w:t>
      </w:r>
    </w:p>
  </w:footnote>
  <w:footnote w:id="31">
    <w:p w14:paraId="6E098046" w14:textId="77777777" w:rsidR="00C45483" w:rsidRDefault="00C45483" w:rsidP="004640B0">
      <w:pPr>
        <w:pStyle w:val="FootnoteText"/>
      </w:pPr>
      <w:r>
        <w:rPr>
          <w:rStyle w:val="FootnoteReference"/>
        </w:rPr>
        <w:footnoteRef/>
      </w:r>
      <w:r>
        <w:t xml:space="preserve"> Our estimated return to experience based on quarter-to-quarter earnings changes for the same employee-employer dyad is based on over 83,000 quarterly changes.</w:t>
      </w:r>
    </w:p>
    <w:p w14:paraId="7D8AEA86" w14:textId="77777777" w:rsidR="00C45483" w:rsidRDefault="00C45483">
      <w:pPr>
        <w:pStyle w:val="FootnoteText"/>
      </w:pPr>
    </w:p>
  </w:footnote>
  <w:footnote w:id="32">
    <w:p w14:paraId="55540280" w14:textId="77777777" w:rsidR="00C45483" w:rsidRDefault="00C45483">
      <w:pPr>
        <w:pStyle w:val="FootnoteText"/>
      </w:pPr>
      <w:r>
        <w:rPr>
          <w:rStyle w:val="FootnoteReference"/>
        </w:rPr>
        <w:footnoteRef/>
      </w:r>
      <w:r>
        <w:t xml:space="preserve"> We made this exclusion as we did not want our labor market metrics entangled with any effects of CCMEP or WP.</w:t>
      </w:r>
    </w:p>
  </w:footnote>
  <w:footnote w:id="33">
    <w:p w14:paraId="12F0D107" w14:textId="77777777" w:rsidR="00C45483" w:rsidRDefault="00C45483" w:rsidP="00C11B60">
      <w:pPr>
        <w:pStyle w:val="FootnoteText"/>
      </w:pPr>
      <w:r>
        <w:rPr>
          <w:rStyle w:val="FootnoteReference"/>
        </w:rPr>
        <w:footnoteRef/>
      </w:r>
      <w:r>
        <w:t xml:space="preserve"> Some non-profit and educational organizations can obtain a certificate allowing them to pay 85% of the minimum wage.</w:t>
      </w:r>
    </w:p>
  </w:footnote>
  <w:footnote w:id="34">
    <w:p w14:paraId="3B8FBBEE" w14:textId="77777777" w:rsidR="00C45483" w:rsidRDefault="00C45483">
      <w:pPr>
        <w:pStyle w:val="FootnoteText"/>
      </w:pPr>
      <w:r>
        <w:rPr>
          <w:rStyle w:val="FootnoteReference"/>
        </w:rPr>
        <w:footnoteRef/>
      </w:r>
      <w:r>
        <w:t xml:space="preserve"> The age distribution of youths within the various labor markets is very similar.</w:t>
      </w:r>
    </w:p>
  </w:footnote>
  <w:footnote w:id="35">
    <w:p w14:paraId="142970C1" w14:textId="77777777" w:rsidR="00C45483" w:rsidRDefault="00C45483">
      <w:pPr>
        <w:pStyle w:val="FootnoteText"/>
      </w:pPr>
      <w:r>
        <w:rPr>
          <w:rStyle w:val="FootnoteReference"/>
        </w:rPr>
        <w:footnoteRef/>
      </w:r>
      <w:r>
        <w:t xml:space="preserve"> As mentioned above, in this evaluation, we contrast those CCMEP clients eligible for WP with those who were ineligible, as case workers may have selected eligible participants based on their likelihood of success.</w:t>
      </w:r>
    </w:p>
  </w:footnote>
  <w:footnote w:id="36">
    <w:p w14:paraId="14D7670B" w14:textId="77777777" w:rsidR="00C45483" w:rsidRDefault="00C45483" w:rsidP="00020319">
      <w:pPr>
        <w:pStyle w:val="FootnoteText"/>
      </w:pPr>
      <w:r>
        <w:rPr>
          <w:rStyle w:val="FootnoteReference"/>
        </w:rPr>
        <w:footnoteRef/>
      </w:r>
      <w:r>
        <w:t xml:space="preserve"> For this evaluation, our inability to randomly assign the treatment means we are comparing WP experimentals (eligible) to controls (ineligibles), not WP participants to non-participants.</w:t>
      </w:r>
    </w:p>
  </w:footnote>
  <w:footnote w:id="37">
    <w:p w14:paraId="2698DD0D" w14:textId="77777777" w:rsidR="00C45483" w:rsidRDefault="00C45483" w:rsidP="00020319">
      <w:pPr>
        <w:pStyle w:val="FootnoteText"/>
      </w:pPr>
      <w:r>
        <w:rPr>
          <w:rStyle w:val="FootnoteReference"/>
        </w:rPr>
        <w:footnoteRef/>
      </w:r>
      <w:r>
        <w:t xml:space="preserve"> The identification problem goes back to Frisch and Haavelmo roughly 90 years ago.</w:t>
      </w:r>
    </w:p>
  </w:footnote>
  <w:footnote w:id="38">
    <w:p w14:paraId="5164FD36" w14:textId="224BC4A7" w:rsidR="00C45483" w:rsidRDefault="00C45483">
      <w:pPr>
        <w:pStyle w:val="FootnoteText"/>
      </w:pPr>
      <w:r>
        <w:rPr>
          <w:rStyle w:val="FootnoteReference"/>
        </w:rPr>
        <w:footnoteRef/>
      </w:r>
      <w:r>
        <w:t xml:space="preserve"> Some employees do not have earnings reported to the Ohio UI system.  Federal and military employees, and some small family businesses, non-profits and religious organizations do not report earnings.  </w:t>
      </w:r>
    </w:p>
  </w:footnote>
  <w:footnote w:id="39">
    <w:p w14:paraId="2A52D104" w14:textId="77777777" w:rsidR="00C45483" w:rsidRDefault="00C45483">
      <w:pPr>
        <w:pStyle w:val="FootnoteText"/>
      </w:pPr>
      <w:r>
        <w:rPr>
          <w:rStyle w:val="FootnoteReference"/>
        </w:rPr>
        <w:footnoteRef/>
      </w:r>
      <w:r>
        <w:t xml:space="preserve"> We only estimate the log earnings equation for those with non-zero earnings in 2018.</w:t>
      </w:r>
    </w:p>
  </w:footnote>
  <w:footnote w:id="40">
    <w:p w14:paraId="46295C79" w14:textId="77777777" w:rsidR="00C45483" w:rsidRDefault="00C45483">
      <w:pPr>
        <w:pStyle w:val="FootnoteText"/>
      </w:pPr>
      <w:r>
        <w:rPr>
          <w:rStyle w:val="FootnoteReference"/>
        </w:rPr>
        <w:footnoteRef/>
      </w:r>
      <w:r>
        <w:t xml:space="preserve"> Zeroes included.</w:t>
      </w:r>
    </w:p>
  </w:footnote>
  <w:footnote w:id="41">
    <w:p w14:paraId="3BCD5584" w14:textId="77777777" w:rsidR="00C45483" w:rsidRDefault="00C45483">
      <w:pPr>
        <w:pStyle w:val="FootnoteText"/>
      </w:pPr>
      <w:r>
        <w:rPr>
          <w:rStyle w:val="FootnoteReference"/>
        </w:rPr>
        <w:footnoteRef/>
      </w:r>
      <w:r>
        <w:t xml:space="preserve"> Zeroes included.</w:t>
      </w:r>
    </w:p>
  </w:footnote>
  <w:footnote w:id="42">
    <w:p w14:paraId="2B505842" w14:textId="77777777" w:rsidR="00C45483" w:rsidRDefault="00C45483" w:rsidP="001B6602">
      <w:pPr>
        <w:pStyle w:val="FootnoteText"/>
      </w:pPr>
      <w:r>
        <w:rPr>
          <w:rStyle w:val="FootnoteReference"/>
        </w:rPr>
        <w:footnoteRef/>
      </w:r>
      <w:r>
        <w:t xml:space="preserve"> This figure uses one in six people in the UI Earning file.  This is about 900,000 people for every quarter.</w:t>
      </w:r>
    </w:p>
  </w:footnote>
  <w:footnote w:id="43">
    <w:p w14:paraId="4456A841" w14:textId="77777777" w:rsidR="00C45483" w:rsidRDefault="00C45483" w:rsidP="001B6602">
      <w:pPr>
        <w:pStyle w:val="FootnoteText"/>
      </w:pPr>
      <w:r>
        <w:rPr>
          <w:rStyle w:val="FootnoteReference"/>
        </w:rPr>
        <w:footnoteRef/>
      </w:r>
      <w:r>
        <w:t xml:space="preserve"> The CES has doubtful provenance for other reasons.  It is a BLS survey of employers, but as small businesses go out of business or start-up, the sampling frame BLS uses cannot be refreshed to reflect these high frequency moves.  In addition, the CES does not identify workers who hold more than one job, as the sampled employers cannot provide this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F3E"/>
    <w:multiLevelType w:val="hybridMultilevel"/>
    <w:tmpl w:val="BE12438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0E5F0DD5"/>
    <w:multiLevelType w:val="hybridMultilevel"/>
    <w:tmpl w:val="C34E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40C2"/>
    <w:multiLevelType w:val="hybridMultilevel"/>
    <w:tmpl w:val="1AE05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11290B"/>
    <w:multiLevelType w:val="hybridMultilevel"/>
    <w:tmpl w:val="949E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B1CC4"/>
    <w:multiLevelType w:val="hybridMultilevel"/>
    <w:tmpl w:val="9C06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C0454"/>
    <w:multiLevelType w:val="hybridMultilevel"/>
    <w:tmpl w:val="67C8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633C7"/>
    <w:multiLevelType w:val="hybridMultilevel"/>
    <w:tmpl w:val="6E4E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40FFD"/>
    <w:multiLevelType w:val="hybridMultilevel"/>
    <w:tmpl w:val="4140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6299439">
    <w:abstractNumId w:val="6"/>
  </w:num>
  <w:num w:numId="2" w16cid:durableId="13772891">
    <w:abstractNumId w:val="4"/>
  </w:num>
  <w:num w:numId="3" w16cid:durableId="143817155">
    <w:abstractNumId w:val="2"/>
  </w:num>
  <w:num w:numId="4" w16cid:durableId="683479086">
    <w:abstractNumId w:val="3"/>
  </w:num>
  <w:num w:numId="5" w16cid:durableId="1875188404">
    <w:abstractNumId w:val="7"/>
  </w:num>
  <w:num w:numId="6" w16cid:durableId="1998219152">
    <w:abstractNumId w:val="1"/>
  </w:num>
  <w:num w:numId="7" w16cid:durableId="1708600878">
    <w:abstractNumId w:val="0"/>
  </w:num>
  <w:num w:numId="8" w16cid:durableId="1924684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2E"/>
    <w:rsid w:val="00000D5E"/>
    <w:rsid w:val="000028DD"/>
    <w:rsid w:val="00003079"/>
    <w:rsid w:val="000030FF"/>
    <w:rsid w:val="00003556"/>
    <w:rsid w:val="00007A3C"/>
    <w:rsid w:val="0001671B"/>
    <w:rsid w:val="00020319"/>
    <w:rsid w:val="00021192"/>
    <w:rsid w:val="00022D0C"/>
    <w:rsid w:val="00023ED4"/>
    <w:rsid w:val="0002434D"/>
    <w:rsid w:val="000348F0"/>
    <w:rsid w:val="000363C3"/>
    <w:rsid w:val="0003790E"/>
    <w:rsid w:val="000429AC"/>
    <w:rsid w:val="000463F8"/>
    <w:rsid w:val="00052C31"/>
    <w:rsid w:val="00054471"/>
    <w:rsid w:val="00056CAC"/>
    <w:rsid w:val="00072AB4"/>
    <w:rsid w:val="00077A44"/>
    <w:rsid w:val="00082793"/>
    <w:rsid w:val="00083473"/>
    <w:rsid w:val="00091FC6"/>
    <w:rsid w:val="00093C51"/>
    <w:rsid w:val="00093E96"/>
    <w:rsid w:val="00094991"/>
    <w:rsid w:val="000C39C6"/>
    <w:rsid w:val="000C487F"/>
    <w:rsid w:val="000C7D7C"/>
    <w:rsid w:val="000D36CE"/>
    <w:rsid w:val="000D4143"/>
    <w:rsid w:val="000D501B"/>
    <w:rsid w:val="000E1232"/>
    <w:rsid w:val="000F3C12"/>
    <w:rsid w:val="000F6B93"/>
    <w:rsid w:val="001120CB"/>
    <w:rsid w:val="001146EC"/>
    <w:rsid w:val="00121D61"/>
    <w:rsid w:val="00123CBB"/>
    <w:rsid w:val="001242BD"/>
    <w:rsid w:val="001337D1"/>
    <w:rsid w:val="00140090"/>
    <w:rsid w:val="00144D19"/>
    <w:rsid w:val="0014766F"/>
    <w:rsid w:val="00151DD5"/>
    <w:rsid w:val="00155572"/>
    <w:rsid w:val="00156059"/>
    <w:rsid w:val="00157551"/>
    <w:rsid w:val="0015794D"/>
    <w:rsid w:val="0016517F"/>
    <w:rsid w:val="0016778F"/>
    <w:rsid w:val="0017337F"/>
    <w:rsid w:val="001746F4"/>
    <w:rsid w:val="00176BD1"/>
    <w:rsid w:val="00177031"/>
    <w:rsid w:val="001779CF"/>
    <w:rsid w:val="00187D08"/>
    <w:rsid w:val="00187D22"/>
    <w:rsid w:val="00194C43"/>
    <w:rsid w:val="001A31F9"/>
    <w:rsid w:val="001A6DD2"/>
    <w:rsid w:val="001B6602"/>
    <w:rsid w:val="001C318B"/>
    <w:rsid w:val="001E13C1"/>
    <w:rsid w:val="001E71EA"/>
    <w:rsid w:val="001E7397"/>
    <w:rsid w:val="001F047C"/>
    <w:rsid w:val="001F4084"/>
    <w:rsid w:val="001F6211"/>
    <w:rsid w:val="001F6D8F"/>
    <w:rsid w:val="00201F5F"/>
    <w:rsid w:val="00204F66"/>
    <w:rsid w:val="002053C4"/>
    <w:rsid w:val="00207CFF"/>
    <w:rsid w:val="00211E3F"/>
    <w:rsid w:val="002132EB"/>
    <w:rsid w:val="00226D2A"/>
    <w:rsid w:val="00230AF1"/>
    <w:rsid w:val="00235B32"/>
    <w:rsid w:val="00236F16"/>
    <w:rsid w:val="00246F6D"/>
    <w:rsid w:val="00252416"/>
    <w:rsid w:val="00252759"/>
    <w:rsid w:val="002533F8"/>
    <w:rsid w:val="00253433"/>
    <w:rsid w:val="002548A7"/>
    <w:rsid w:val="00264143"/>
    <w:rsid w:val="00265E2F"/>
    <w:rsid w:val="00266C94"/>
    <w:rsid w:val="002765CD"/>
    <w:rsid w:val="00281F22"/>
    <w:rsid w:val="002827E8"/>
    <w:rsid w:val="00286B48"/>
    <w:rsid w:val="0028762A"/>
    <w:rsid w:val="00290369"/>
    <w:rsid w:val="00292700"/>
    <w:rsid w:val="002948E5"/>
    <w:rsid w:val="002953CE"/>
    <w:rsid w:val="002A0927"/>
    <w:rsid w:val="002A1306"/>
    <w:rsid w:val="002A47F1"/>
    <w:rsid w:val="002A59C6"/>
    <w:rsid w:val="002A764A"/>
    <w:rsid w:val="002B0CE1"/>
    <w:rsid w:val="002B1D0F"/>
    <w:rsid w:val="002B6BAD"/>
    <w:rsid w:val="002C517E"/>
    <w:rsid w:val="002D5248"/>
    <w:rsid w:val="002D57ED"/>
    <w:rsid w:val="002D5F20"/>
    <w:rsid w:val="002D6AE5"/>
    <w:rsid w:val="002D7109"/>
    <w:rsid w:val="002D720D"/>
    <w:rsid w:val="002E2524"/>
    <w:rsid w:val="002E42D0"/>
    <w:rsid w:val="002E79AC"/>
    <w:rsid w:val="003110C1"/>
    <w:rsid w:val="0031247E"/>
    <w:rsid w:val="00314156"/>
    <w:rsid w:val="0032179F"/>
    <w:rsid w:val="003227E3"/>
    <w:rsid w:val="003228AE"/>
    <w:rsid w:val="00322BE9"/>
    <w:rsid w:val="00323FE6"/>
    <w:rsid w:val="00334472"/>
    <w:rsid w:val="003441CC"/>
    <w:rsid w:val="00346FB6"/>
    <w:rsid w:val="00347348"/>
    <w:rsid w:val="00347940"/>
    <w:rsid w:val="003543C2"/>
    <w:rsid w:val="00356304"/>
    <w:rsid w:val="003601C7"/>
    <w:rsid w:val="00363BA3"/>
    <w:rsid w:val="003658D3"/>
    <w:rsid w:val="0037019D"/>
    <w:rsid w:val="0037311B"/>
    <w:rsid w:val="00382E5E"/>
    <w:rsid w:val="00385E6D"/>
    <w:rsid w:val="003865AA"/>
    <w:rsid w:val="003874BA"/>
    <w:rsid w:val="00387E7B"/>
    <w:rsid w:val="003B10AB"/>
    <w:rsid w:val="003B560E"/>
    <w:rsid w:val="003B76B1"/>
    <w:rsid w:val="003C3A44"/>
    <w:rsid w:val="003C611B"/>
    <w:rsid w:val="003D04BD"/>
    <w:rsid w:val="003D3CF2"/>
    <w:rsid w:val="003E121F"/>
    <w:rsid w:val="003E1CC7"/>
    <w:rsid w:val="003F126E"/>
    <w:rsid w:val="003F6274"/>
    <w:rsid w:val="0040030B"/>
    <w:rsid w:val="004021BD"/>
    <w:rsid w:val="004061FB"/>
    <w:rsid w:val="00410DCD"/>
    <w:rsid w:val="004138B7"/>
    <w:rsid w:val="0043618A"/>
    <w:rsid w:val="004471A7"/>
    <w:rsid w:val="004512E7"/>
    <w:rsid w:val="004530DF"/>
    <w:rsid w:val="00453EB7"/>
    <w:rsid w:val="00455002"/>
    <w:rsid w:val="004640B0"/>
    <w:rsid w:val="0046720B"/>
    <w:rsid w:val="00471922"/>
    <w:rsid w:val="0047273E"/>
    <w:rsid w:val="004816F6"/>
    <w:rsid w:val="0048351A"/>
    <w:rsid w:val="004A2F1F"/>
    <w:rsid w:val="004A3E69"/>
    <w:rsid w:val="004A63BA"/>
    <w:rsid w:val="004A7C77"/>
    <w:rsid w:val="004B0510"/>
    <w:rsid w:val="004B0FAD"/>
    <w:rsid w:val="004C114A"/>
    <w:rsid w:val="004C12E9"/>
    <w:rsid w:val="004C3342"/>
    <w:rsid w:val="004C49AB"/>
    <w:rsid w:val="004C7186"/>
    <w:rsid w:val="004C7426"/>
    <w:rsid w:val="004D09FF"/>
    <w:rsid w:val="004D4CD4"/>
    <w:rsid w:val="004D642A"/>
    <w:rsid w:val="004D696F"/>
    <w:rsid w:val="004E0C66"/>
    <w:rsid w:val="004E47E3"/>
    <w:rsid w:val="004E4BA8"/>
    <w:rsid w:val="004F3B8B"/>
    <w:rsid w:val="004F45CC"/>
    <w:rsid w:val="00501F34"/>
    <w:rsid w:val="00504778"/>
    <w:rsid w:val="00505C71"/>
    <w:rsid w:val="00507608"/>
    <w:rsid w:val="0051290A"/>
    <w:rsid w:val="00513CF0"/>
    <w:rsid w:val="00521E1B"/>
    <w:rsid w:val="00521FEB"/>
    <w:rsid w:val="005235D2"/>
    <w:rsid w:val="00526F7E"/>
    <w:rsid w:val="00530B2E"/>
    <w:rsid w:val="00531231"/>
    <w:rsid w:val="00532154"/>
    <w:rsid w:val="00534B12"/>
    <w:rsid w:val="00535C9A"/>
    <w:rsid w:val="0054133D"/>
    <w:rsid w:val="0054250A"/>
    <w:rsid w:val="005449B6"/>
    <w:rsid w:val="005530A4"/>
    <w:rsid w:val="0056203E"/>
    <w:rsid w:val="00562FFA"/>
    <w:rsid w:val="00564A9C"/>
    <w:rsid w:val="005700B7"/>
    <w:rsid w:val="0057455F"/>
    <w:rsid w:val="00577161"/>
    <w:rsid w:val="0058263B"/>
    <w:rsid w:val="005834E6"/>
    <w:rsid w:val="005877C5"/>
    <w:rsid w:val="00594478"/>
    <w:rsid w:val="00596E13"/>
    <w:rsid w:val="00597F44"/>
    <w:rsid w:val="005A42DE"/>
    <w:rsid w:val="005A7125"/>
    <w:rsid w:val="005B1043"/>
    <w:rsid w:val="005B123A"/>
    <w:rsid w:val="005C3329"/>
    <w:rsid w:val="005D05F4"/>
    <w:rsid w:val="005D31A0"/>
    <w:rsid w:val="005D3816"/>
    <w:rsid w:val="005D4854"/>
    <w:rsid w:val="005D5595"/>
    <w:rsid w:val="005D7B25"/>
    <w:rsid w:val="005D7B66"/>
    <w:rsid w:val="005E3997"/>
    <w:rsid w:val="005E43F1"/>
    <w:rsid w:val="005F0D35"/>
    <w:rsid w:val="005F17AC"/>
    <w:rsid w:val="005F6D14"/>
    <w:rsid w:val="0061283B"/>
    <w:rsid w:val="006170B1"/>
    <w:rsid w:val="00623FD6"/>
    <w:rsid w:val="00631A60"/>
    <w:rsid w:val="0063232B"/>
    <w:rsid w:val="00634A31"/>
    <w:rsid w:val="006359C4"/>
    <w:rsid w:val="00641533"/>
    <w:rsid w:val="0064200E"/>
    <w:rsid w:val="00646D71"/>
    <w:rsid w:val="00650620"/>
    <w:rsid w:val="00650B35"/>
    <w:rsid w:val="006557EA"/>
    <w:rsid w:val="006606D8"/>
    <w:rsid w:val="00664B34"/>
    <w:rsid w:val="0068171F"/>
    <w:rsid w:val="006840E4"/>
    <w:rsid w:val="00685BA7"/>
    <w:rsid w:val="0069648A"/>
    <w:rsid w:val="0069730C"/>
    <w:rsid w:val="006A32C9"/>
    <w:rsid w:val="006A3342"/>
    <w:rsid w:val="006B0774"/>
    <w:rsid w:val="006B36DA"/>
    <w:rsid w:val="006B73D3"/>
    <w:rsid w:val="006C0B95"/>
    <w:rsid w:val="006C6271"/>
    <w:rsid w:val="006D3D47"/>
    <w:rsid w:val="006E14F3"/>
    <w:rsid w:val="006E2D72"/>
    <w:rsid w:val="006E32B3"/>
    <w:rsid w:val="006E5CE1"/>
    <w:rsid w:val="006F0F94"/>
    <w:rsid w:val="006F3303"/>
    <w:rsid w:val="006F442F"/>
    <w:rsid w:val="006F4481"/>
    <w:rsid w:val="006F4B63"/>
    <w:rsid w:val="006F5B7C"/>
    <w:rsid w:val="00700751"/>
    <w:rsid w:val="007031E7"/>
    <w:rsid w:val="00705E77"/>
    <w:rsid w:val="00707A49"/>
    <w:rsid w:val="007105D4"/>
    <w:rsid w:val="00712A0A"/>
    <w:rsid w:val="007133DC"/>
    <w:rsid w:val="0071441F"/>
    <w:rsid w:val="00717233"/>
    <w:rsid w:val="007177E2"/>
    <w:rsid w:val="00720091"/>
    <w:rsid w:val="0072615E"/>
    <w:rsid w:val="00733D2C"/>
    <w:rsid w:val="007353E7"/>
    <w:rsid w:val="00735D26"/>
    <w:rsid w:val="00737192"/>
    <w:rsid w:val="00740B87"/>
    <w:rsid w:val="00744F0A"/>
    <w:rsid w:val="00752948"/>
    <w:rsid w:val="00752BE1"/>
    <w:rsid w:val="007549E0"/>
    <w:rsid w:val="00756F49"/>
    <w:rsid w:val="00776E6F"/>
    <w:rsid w:val="00776F3D"/>
    <w:rsid w:val="00782957"/>
    <w:rsid w:val="00782DEF"/>
    <w:rsid w:val="00783522"/>
    <w:rsid w:val="00784EA9"/>
    <w:rsid w:val="007877C2"/>
    <w:rsid w:val="00793D9D"/>
    <w:rsid w:val="007A008E"/>
    <w:rsid w:val="007B1608"/>
    <w:rsid w:val="007B2BAC"/>
    <w:rsid w:val="007B54A5"/>
    <w:rsid w:val="007B679B"/>
    <w:rsid w:val="007B78FA"/>
    <w:rsid w:val="007C403D"/>
    <w:rsid w:val="007C688C"/>
    <w:rsid w:val="007D63B1"/>
    <w:rsid w:val="007E4963"/>
    <w:rsid w:val="007E5295"/>
    <w:rsid w:val="007E69BA"/>
    <w:rsid w:val="007F1301"/>
    <w:rsid w:val="007F15A9"/>
    <w:rsid w:val="007F1761"/>
    <w:rsid w:val="007F3681"/>
    <w:rsid w:val="007F5BA5"/>
    <w:rsid w:val="00805F88"/>
    <w:rsid w:val="00806E5B"/>
    <w:rsid w:val="008156F0"/>
    <w:rsid w:val="00820AC6"/>
    <w:rsid w:val="008212B0"/>
    <w:rsid w:val="00825735"/>
    <w:rsid w:val="00831498"/>
    <w:rsid w:val="00833008"/>
    <w:rsid w:val="00834932"/>
    <w:rsid w:val="0083509F"/>
    <w:rsid w:val="00836F3F"/>
    <w:rsid w:val="00837AEF"/>
    <w:rsid w:val="00841F47"/>
    <w:rsid w:val="00842B27"/>
    <w:rsid w:val="0085344B"/>
    <w:rsid w:val="00855E3C"/>
    <w:rsid w:val="008632A5"/>
    <w:rsid w:val="00874196"/>
    <w:rsid w:val="00876D95"/>
    <w:rsid w:val="00880CBB"/>
    <w:rsid w:val="00881852"/>
    <w:rsid w:val="00883191"/>
    <w:rsid w:val="0088440C"/>
    <w:rsid w:val="00884512"/>
    <w:rsid w:val="00885B49"/>
    <w:rsid w:val="008872D3"/>
    <w:rsid w:val="0089368F"/>
    <w:rsid w:val="008A1136"/>
    <w:rsid w:val="008A2186"/>
    <w:rsid w:val="008A221B"/>
    <w:rsid w:val="008A31D2"/>
    <w:rsid w:val="008A6CEE"/>
    <w:rsid w:val="008A7CBD"/>
    <w:rsid w:val="008B29B2"/>
    <w:rsid w:val="008B79F5"/>
    <w:rsid w:val="008D13BC"/>
    <w:rsid w:val="008D4879"/>
    <w:rsid w:val="008F09C6"/>
    <w:rsid w:val="00902377"/>
    <w:rsid w:val="00902EA9"/>
    <w:rsid w:val="00902FF9"/>
    <w:rsid w:val="009053B8"/>
    <w:rsid w:val="0091732A"/>
    <w:rsid w:val="009224A2"/>
    <w:rsid w:val="00933353"/>
    <w:rsid w:val="00943CA6"/>
    <w:rsid w:val="0094666E"/>
    <w:rsid w:val="00953F9C"/>
    <w:rsid w:val="009540AA"/>
    <w:rsid w:val="00954AEF"/>
    <w:rsid w:val="0096085E"/>
    <w:rsid w:val="00980046"/>
    <w:rsid w:val="009812A3"/>
    <w:rsid w:val="00982B40"/>
    <w:rsid w:val="009972F3"/>
    <w:rsid w:val="00997983"/>
    <w:rsid w:val="009A359F"/>
    <w:rsid w:val="009A5DD0"/>
    <w:rsid w:val="009B1E08"/>
    <w:rsid w:val="009B1FA6"/>
    <w:rsid w:val="009B212F"/>
    <w:rsid w:val="009C4F98"/>
    <w:rsid w:val="009D1677"/>
    <w:rsid w:val="009D41A0"/>
    <w:rsid w:val="009D4B54"/>
    <w:rsid w:val="009D51BB"/>
    <w:rsid w:val="009E42C0"/>
    <w:rsid w:val="009E4391"/>
    <w:rsid w:val="009E69B4"/>
    <w:rsid w:val="009F1B4E"/>
    <w:rsid w:val="009F2704"/>
    <w:rsid w:val="009F35CC"/>
    <w:rsid w:val="009F41E7"/>
    <w:rsid w:val="00A03490"/>
    <w:rsid w:val="00A15917"/>
    <w:rsid w:val="00A26140"/>
    <w:rsid w:val="00A26742"/>
    <w:rsid w:val="00A27D2C"/>
    <w:rsid w:val="00A40474"/>
    <w:rsid w:val="00A435BF"/>
    <w:rsid w:val="00A51F04"/>
    <w:rsid w:val="00A63F00"/>
    <w:rsid w:val="00A65D4D"/>
    <w:rsid w:val="00A6640B"/>
    <w:rsid w:val="00A755E2"/>
    <w:rsid w:val="00A82FA5"/>
    <w:rsid w:val="00A85686"/>
    <w:rsid w:val="00A85AA4"/>
    <w:rsid w:val="00AA04E5"/>
    <w:rsid w:val="00AA1652"/>
    <w:rsid w:val="00AA2BC7"/>
    <w:rsid w:val="00AA4A29"/>
    <w:rsid w:val="00AA6A7D"/>
    <w:rsid w:val="00AB46E1"/>
    <w:rsid w:val="00AB5269"/>
    <w:rsid w:val="00AB6AEA"/>
    <w:rsid w:val="00AC08E1"/>
    <w:rsid w:val="00AC11BC"/>
    <w:rsid w:val="00AC2556"/>
    <w:rsid w:val="00AC2C6D"/>
    <w:rsid w:val="00AC6265"/>
    <w:rsid w:val="00AD075D"/>
    <w:rsid w:val="00AE4D3A"/>
    <w:rsid w:val="00AE5892"/>
    <w:rsid w:val="00AF56EA"/>
    <w:rsid w:val="00B047ED"/>
    <w:rsid w:val="00B0655A"/>
    <w:rsid w:val="00B076BB"/>
    <w:rsid w:val="00B110C5"/>
    <w:rsid w:val="00B209ED"/>
    <w:rsid w:val="00B20D7B"/>
    <w:rsid w:val="00B2153E"/>
    <w:rsid w:val="00B22F22"/>
    <w:rsid w:val="00B2779D"/>
    <w:rsid w:val="00B30602"/>
    <w:rsid w:val="00B335AE"/>
    <w:rsid w:val="00B350AF"/>
    <w:rsid w:val="00B40C65"/>
    <w:rsid w:val="00B421CC"/>
    <w:rsid w:val="00B44373"/>
    <w:rsid w:val="00B443EE"/>
    <w:rsid w:val="00B444A2"/>
    <w:rsid w:val="00B5265E"/>
    <w:rsid w:val="00B545E8"/>
    <w:rsid w:val="00B54E8C"/>
    <w:rsid w:val="00B728DA"/>
    <w:rsid w:val="00B761CB"/>
    <w:rsid w:val="00B8140F"/>
    <w:rsid w:val="00B851DA"/>
    <w:rsid w:val="00BA01D2"/>
    <w:rsid w:val="00BA1EA8"/>
    <w:rsid w:val="00BB1AFE"/>
    <w:rsid w:val="00BB3362"/>
    <w:rsid w:val="00BB350F"/>
    <w:rsid w:val="00BB3E49"/>
    <w:rsid w:val="00BB70CA"/>
    <w:rsid w:val="00BC4A78"/>
    <w:rsid w:val="00BC745A"/>
    <w:rsid w:val="00BE21D3"/>
    <w:rsid w:val="00BE232A"/>
    <w:rsid w:val="00BE66AE"/>
    <w:rsid w:val="00BF09FF"/>
    <w:rsid w:val="00BF5B8D"/>
    <w:rsid w:val="00BF7AB9"/>
    <w:rsid w:val="00C04BD3"/>
    <w:rsid w:val="00C04E7E"/>
    <w:rsid w:val="00C11B60"/>
    <w:rsid w:val="00C13C63"/>
    <w:rsid w:val="00C16E81"/>
    <w:rsid w:val="00C333A4"/>
    <w:rsid w:val="00C33781"/>
    <w:rsid w:val="00C45483"/>
    <w:rsid w:val="00C511A0"/>
    <w:rsid w:val="00C515BD"/>
    <w:rsid w:val="00C602CD"/>
    <w:rsid w:val="00C6115D"/>
    <w:rsid w:val="00C63CE9"/>
    <w:rsid w:val="00C72844"/>
    <w:rsid w:val="00C73188"/>
    <w:rsid w:val="00C75164"/>
    <w:rsid w:val="00C77F5C"/>
    <w:rsid w:val="00C96C1A"/>
    <w:rsid w:val="00CA3E0A"/>
    <w:rsid w:val="00CA3FCA"/>
    <w:rsid w:val="00CA4B70"/>
    <w:rsid w:val="00CB3B75"/>
    <w:rsid w:val="00CC38A7"/>
    <w:rsid w:val="00CC4F30"/>
    <w:rsid w:val="00CC50B7"/>
    <w:rsid w:val="00CC6AB3"/>
    <w:rsid w:val="00CD27D3"/>
    <w:rsid w:val="00CE6578"/>
    <w:rsid w:val="00CE6834"/>
    <w:rsid w:val="00D07029"/>
    <w:rsid w:val="00D11161"/>
    <w:rsid w:val="00D139A7"/>
    <w:rsid w:val="00D15835"/>
    <w:rsid w:val="00D25B64"/>
    <w:rsid w:val="00D32413"/>
    <w:rsid w:val="00D32658"/>
    <w:rsid w:val="00D34947"/>
    <w:rsid w:val="00D409A7"/>
    <w:rsid w:val="00D51C6F"/>
    <w:rsid w:val="00D66364"/>
    <w:rsid w:val="00D71E5D"/>
    <w:rsid w:val="00D73C57"/>
    <w:rsid w:val="00D770E8"/>
    <w:rsid w:val="00D8158D"/>
    <w:rsid w:val="00D90E80"/>
    <w:rsid w:val="00D932A8"/>
    <w:rsid w:val="00D943C8"/>
    <w:rsid w:val="00D96C1B"/>
    <w:rsid w:val="00DB5116"/>
    <w:rsid w:val="00DD2517"/>
    <w:rsid w:val="00DD3F84"/>
    <w:rsid w:val="00DD51D5"/>
    <w:rsid w:val="00DD53D8"/>
    <w:rsid w:val="00DD729B"/>
    <w:rsid w:val="00DE0B8C"/>
    <w:rsid w:val="00DE6377"/>
    <w:rsid w:val="00DF3F3F"/>
    <w:rsid w:val="00E05AFA"/>
    <w:rsid w:val="00E05D15"/>
    <w:rsid w:val="00E2082D"/>
    <w:rsid w:val="00E21C3E"/>
    <w:rsid w:val="00E22CD9"/>
    <w:rsid w:val="00E240CE"/>
    <w:rsid w:val="00E31876"/>
    <w:rsid w:val="00E40D49"/>
    <w:rsid w:val="00E45889"/>
    <w:rsid w:val="00E46AAB"/>
    <w:rsid w:val="00E52E30"/>
    <w:rsid w:val="00E61ACE"/>
    <w:rsid w:val="00E62B49"/>
    <w:rsid w:val="00E779B2"/>
    <w:rsid w:val="00E82BBF"/>
    <w:rsid w:val="00E83B5D"/>
    <w:rsid w:val="00E91C33"/>
    <w:rsid w:val="00E92C63"/>
    <w:rsid w:val="00EA39EA"/>
    <w:rsid w:val="00EA769F"/>
    <w:rsid w:val="00EB2191"/>
    <w:rsid w:val="00EB3C36"/>
    <w:rsid w:val="00EB51D6"/>
    <w:rsid w:val="00EB62A2"/>
    <w:rsid w:val="00EB6FF5"/>
    <w:rsid w:val="00EC160A"/>
    <w:rsid w:val="00EC1C2C"/>
    <w:rsid w:val="00ED2272"/>
    <w:rsid w:val="00ED4D07"/>
    <w:rsid w:val="00EE11F7"/>
    <w:rsid w:val="00EE3CB8"/>
    <w:rsid w:val="00EE454B"/>
    <w:rsid w:val="00EF0EE1"/>
    <w:rsid w:val="00EF46D8"/>
    <w:rsid w:val="00EF7802"/>
    <w:rsid w:val="00F01021"/>
    <w:rsid w:val="00F016B0"/>
    <w:rsid w:val="00F04867"/>
    <w:rsid w:val="00F07170"/>
    <w:rsid w:val="00F11382"/>
    <w:rsid w:val="00F115C7"/>
    <w:rsid w:val="00F16176"/>
    <w:rsid w:val="00F30C08"/>
    <w:rsid w:val="00F32ABF"/>
    <w:rsid w:val="00F333F0"/>
    <w:rsid w:val="00F3441D"/>
    <w:rsid w:val="00F3570B"/>
    <w:rsid w:val="00F377A4"/>
    <w:rsid w:val="00F420D0"/>
    <w:rsid w:val="00F4474F"/>
    <w:rsid w:val="00F453BD"/>
    <w:rsid w:val="00F45ED1"/>
    <w:rsid w:val="00F4679B"/>
    <w:rsid w:val="00F53AF4"/>
    <w:rsid w:val="00F543A6"/>
    <w:rsid w:val="00F54718"/>
    <w:rsid w:val="00F57E74"/>
    <w:rsid w:val="00F643DB"/>
    <w:rsid w:val="00F64CC7"/>
    <w:rsid w:val="00F75F1C"/>
    <w:rsid w:val="00F76766"/>
    <w:rsid w:val="00F83C3C"/>
    <w:rsid w:val="00F83E14"/>
    <w:rsid w:val="00F86820"/>
    <w:rsid w:val="00F87250"/>
    <w:rsid w:val="00F87323"/>
    <w:rsid w:val="00F95777"/>
    <w:rsid w:val="00F95C25"/>
    <w:rsid w:val="00F95FA6"/>
    <w:rsid w:val="00F97C3B"/>
    <w:rsid w:val="00FA1988"/>
    <w:rsid w:val="00FA55A9"/>
    <w:rsid w:val="00FA7FAA"/>
    <w:rsid w:val="00FA7FE1"/>
    <w:rsid w:val="00FC13C4"/>
    <w:rsid w:val="00FD15B6"/>
    <w:rsid w:val="00FD1FEE"/>
    <w:rsid w:val="00FD56E8"/>
    <w:rsid w:val="00FD5A5A"/>
    <w:rsid w:val="00FD78BD"/>
    <w:rsid w:val="00FE1807"/>
    <w:rsid w:val="00FE3C7A"/>
    <w:rsid w:val="00FE78BD"/>
    <w:rsid w:val="00FF1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7530B"/>
  <w15:chartTrackingRefBased/>
  <w15:docId w15:val="{F772A9D6-1051-4614-928E-861EB1C8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2E"/>
  </w:style>
  <w:style w:type="paragraph" w:styleId="Heading1">
    <w:name w:val="heading 1"/>
    <w:basedOn w:val="Normal"/>
    <w:next w:val="Normal"/>
    <w:link w:val="Heading1Char"/>
    <w:uiPriority w:val="9"/>
    <w:qFormat/>
    <w:rsid w:val="00530B2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530B2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530B2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530B2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530B2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30B2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30B2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0B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30B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2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530B2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530B2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530B2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530B2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30B2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30B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0B2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30B2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30B2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30B2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30B2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30B2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30B2E"/>
    <w:rPr>
      <w:color w:val="5A5A5A" w:themeColor="text1" w:themeTint="A5"/>
      <w:spacing w:val="15"/>
    </w:rPr>
  </w:style>
  <w:style w:type="character" w:styleId="Strong">
    <w:name w:val="Strong"/>
    <w:basedOn w:val="DefaultParagraphFont"/>
    <w:uiPriority w:val="22"/>
    <w:qFormat/>
    <w:rsid w:val="00530B2E"/>
    <w:rPr>
      <w:b/>
      <w:bCs/>
      <w:color w:val="auto"/>
    </w:rPr>
  </w:style>
  <w:style w:type="character" w:styleId="Emphasis">
    <w:name w:val="Emphasis"/>
    <w:basedOn w:val="DefaultParagraphFont"/>
    <w:uiPriority w:val="20"/>
    <w:qFormat/>
    <w:rsid w:val="00530B2E"/>
    <w:rPr>
      <w:i/>
      <w:iCs/>
      <w:color w:val="auto"/>
    </w:rPr>
  </w:style>
  <w:style w:type="paragraph" w:styleId="NoSpacing">
    <w:name w:val="No Spacing"/>
    <w:uiPriority w:val="1"/>
    <w:qFormat/>
    <w:rsid w:val="00530B2E"/>
    <w:pPr>
      <w:spacing w:after="0" w:line="240" w:lineRule="auto"/>
    </w:pPr>
  </w:style>
  <w:style w:type="paragraph" w:styleId="Quote">
    <w:name w:val="Quote"/>
    <w:basedOn w:val="Normal"/>
    <w:next w:val="Normal"/>
    <w:link w:val="QuoteChar"/>
    <w:uiPriority w:val="29"/>
    <w:qFormat/>
    <w:rsid w:val="00530B2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30B2E"/>
    <w:rPr>
      <w:i/>
      <w:iCs/>
      <w:color w:val="404040" w:themeColor="text1" w:themeTint="BF"/>
    </w:rPr>
  </w:style>
  <w:style w:type="paragraph" w:styleId="IntenseQuote">
    <w:name w:val="Intense Quote"/>
    <w:basedOn w:val="Normal"/>
    <w:next w:val="Normal"/>
    <w:link w:val="IntenseQuoteChar"/>
    <w:uiPriority w:val="30"/>
    <w:qFormat/>
    <w:rsid w:val="00530B2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30B2E"/>
    <w:rPr>
      <w:i/>
      <w:iCs/>
      <w:color w:val="404040" w:themeColor="text1" w:themeTint="BF"/>
    </w:rPr>
  </w:style>
  <w:style w:type="character" w:styleId="SubtleEmphasis">
    <w:name w:val="Subtle Emphasis"/>
    <w:basedOn w:val="DefaultParagraphFont"/>
    <w:uiPriority w:val="19"/>
    <w:qFormat/>
    <w:rsid w:val="00530B2E"/>
    <w:rPr>
      <w:i/>
      <w:iCs/>
      <w:color w:val="404040" w:themeColor="text1" w:themeTint="BF"/>
    </w:rPr>
  </w:style>
  <w:style w:type="character" w:styleId="IntenseEmphasis">
    <w:name w:val="Intense Emphasis"/>
    <w:basedOn w:val="DefaultParagraphFont"/>
    <w:uiPriority w:val="21"/>
    <w:qFormat/>
    <w:rsid w:val="00530B2E"/>
    <w:rPr>
      <w:b/>
      <w:bCs/>
      <w:i/>
      <w:iCs/>
      <w:color w:val="auto"/>
    </w:rPr>
  </w:style>
  <w:style w:type="character" w:styleId="SubtleReference">
    <w:name w:val="Subtle Reference"/>
    <w:basedOn w:val="DefaultParagraphFont"/>
    <w:uiPriority w:val="31"/>
    <w:qFormat/>
    <w:rsid w:val="00530B2E"/>
    <w:rPr>
      <w:smallCaps/>
      <w:color w:val="404040" w:themeColor="text1" w:themeTint="BF"/>
    </w:rPr>
  </w:style>
  <w:style w:type="character" w:styleId="IntenseReference">
    <w:name w:val="Intense Reference"/>
    <w:basedOn w:val="DefaultParagraphFont"/>
    <w:uiPriority w:val="32"/>
    <w:qFormat/>
    <w:rsid w:val="00530B2E"/>
    <w:rPr>
      <w:b/>
      <w:bCs/>
      <w:smallCaps/>
      <w:color w:val="404040" w:themeColor="text1" w:themeTint="BF"/>
      <w:spacing w:val="5"/>
    </w:rPr>
  </w:style>
  <w:style w:type="character" w:styleId="BookTitle">
    <w:name w:val="Book Title"/>
    <w:basedOn w:val="DefaultParagraphFont"/>
    <w:uiPriority w:val="33"/>
    <w:qFormat/>
    <w:rsid w:val="00530B2E"/>
    <w:rPr>
      <w:b/>
      <w:bCs/>
      <w:i/>
      <w:iCs/>
      <w:spacing w:val="5"/>
    </w:rPr>
  </w:style>
  <w:style w:type="paragraph" w:styleId="TOCHeading">
    <w:name w:val="TOC Heading"/>
    <w:basedOn w:val="Heading1"/>
    <w:next w:val="Normal"/>
    <w:uiPriority w:val="39"/>
    <w:unhideWhenUsed/>
    <w:qFormat/>
    <w:rsid w:val="00530B2E"/>
    <w:pPr>
      <w:outlineLvl w:val="9"/>
    </w:pPr>
  </w:style>
  <w:style w:type="paragraph" w:customStyle="1" w:styleId="Pa0">
    <w:name w:val="Pa0"/>
    <w:basedOn w:val="Normal"/>
    <w:next w:val="Normal"/>
    <w:uiPriority w:val="99"/>
    <w:rsid w:val="00A03490"/>
    <w:pPr>
      <w:autoSpaceDE w:val="0"/>
      <w:autoSpaceDN w:val="0"/>
      <w:adjustRightInd w:val="0"/>
      <w:spacing w:after="0" w:line="241" w:lineRule="atLeast"/>
    </w:pPr>
    <w:rPr>
      <w:rFonts w:ascii="Avenir Next" w:hAnsi="Avenir Next"/>
      <w:sz w:val="24"/>
      <w:szCs w:val="24"/>
    </w:rPr>
  </w:style>
  <w:style w:type="character" w:customStyle="1" w:styleId="A4">
    <w:name w:val="A4"/>
    <w:uiPriority w:val="99"/>
    <w:rsid w:val="00A03490"/>
    <w:rPr>
      <w:rFonts w:cs="Avenir Next"/>
      <w:color w:val="000000"/>
      <w:sz w:val="20"/>
      <w:szCs w:val="20"/>
    </w:rPr>
  </w:style>
  <w:style w:type="character" w:customStyle="1" w:styleId="A6">
    <w:name w:val="A6"/>
    <w:uiPriority w:val="99"/>
    <w:rsid w:val="002765CD"/>
    <w:rPr>
      <w:rFonts w:cs="Avenir Next"/>
      <w:b/>
      <w:bCs/>
      <w:color w:val="000000"/>
      <w:sz w:val="11"/>
      <w:szCs w:val="11"/>
    </w:rPr>
  </w:style>
  <w:style w:type="paragraph" w:styleId="FootnoteText">
    <w:name w:val="footnote text"/>
    <w:basedOn w:val="Normal"/>
    <w:link w:val="FootnoteTextChar"/>
    <w:uiPriority w:val="99"/>
    <w:semiHidden/>
    <w:unhideWhenUsed/>
    <w:rsid w:val="00451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2E7"/>
    <w:rPr>
      <w:sz w:val="20"/>
      <w:szCs w:val="20"/>
    </w:rPr>
  </w:style>
  <w:style w:type="character" w:styleId="FootnoteReference">
    <w:name w:val="footnote reference"/>
    <w:basedOn w:val="DefaultParagraphFont"/>
    <w:uiPriority w:val="99"/>
    <w:semiHidden/>
    <w:unhideWhenUsed/>
    <w:rsid w:val="004512E7"/>
    <w:rPr>
      <w:vertAlign w:val="superscript"/>
    </w:rPr>
  </w:style>
  <w:style w:type="paragraph" w:styleId="Header">
    <w:name w:val="header"/>
    <w:basedOn w:val="Normal"/>
    <w:link w:val="HeaderChar"/>
    <w:uiPriority w:val="99"/>
    <w:unhideWhenUsed/>
    <w:rsid w:val="0048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F6"/>
  </w:style>
  <w:style w:type="paragraph" w:styleId="Footer">
    <w:name w:val="footer"/>
    <w:basedOn w:val="Normal"/>
    <w:link w:val="FooterChar"/>
    <w:uiPriority w:val="99"/>
    <w:unhideWhenUsed/>
    <w:rsid w:val="0048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F6"/>
  </w:style>
  <w:style w:type="paragraph" w:styleId="BalloonText">
    <w:name w:val="Balloon Text"/>
    <w:basedOn w:val="Normal"/>
    <w:link w:val="BalloonTextChar"/>
    <w:uiPriority w:val="99"/>
    <w:semiHidden/>
    <w:unhideWhenUsed/>
    <w:rsid w:val="00481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F6"/>
    <w:rPr>
      <w:rFonts w:ascii="Segoe UI" w:hAnsi="Segoe UI" w:cs="Segoe UI"/>
      <w:sz w:val="18"/>
      <w:szCs w:val="18"/>
    </w:rPr>
  </w:style>
  <w:style w:type="character" w:styleId="HTMLCite">
    <w:name w:val="HTML Cite"/>
    <w:basedOn w:val="DefaultParagraphFont"/>
    <w:uiPriority w:val="99"/>
    <w:semiHidden/>
    <w:unhideWhenUsed/>
    <w:rsid w:val="00A85AA4"/>
    <w:rPr>
      <w:i/>
      <w:iCs/>
    </w:rPr>
  </w:style>
  <w:style w:type="character" w:styleId="Hyperlink">
    <w:name w:val="Hyperlink"/>
    <w:basedOn w:val="DefaultParagraphFont"/>
    <w:uiPriority w:val="99"/>
    <w:unhideWhenUsed/>
    <w:rsid w:val="00BF5B8D"/>
    <w:rPr>
      <w:color w:val="0563C1" w:themeColor="hyperlink"/>
      <w:u w:val="single"/>
    </w:rPr>
  </w:style>
  <w:style w:type="paragraph" w:styleId="HTMLPreformatted">
    <w:name w:val="HTML Preformatted"/>
    <w:basedOn w:val="Normal"/>
    <w:link w:val="HTMLPreformattedChar"/>
    <w:uiPriority w:val="99"/>
    <w:semiHidden/>
    <w:unhideWhenUsed/>
    <w:rsid w:val="0088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440C"/>
    <w:rPr>
      <w:rFonts w:ascii="Courier New" w:eastAsia="Times New Roman" w:hAnsi="Courier New" w:cs="Courier New"/>
      <w:sz w:val="20"/>
      <w:szCs w:val="20"/>
    </w:rPr>
  </w:style>
  <w:style w:type="paragraph" w:styleId="ListParagraph">
    <w:name w:val="List Paragraph"/>
    <w:basedOn w:val="Normal"/>
    <w:uiPriority w:val="34"/>
    <w:qFormat/>
    <w:rsid w:val="0028762A"/>
    <w:pPr>
      <w:ind w:left="720"/>
      <w:contextualSpacing/>
    </w:pPr>
  </w:style>
  <w:style w:type="character" w:customStyle="1" w:styleId="reference-text">
    <w:name w:val="reference-text"/>
    <w:basedOn w:val="DefaultParagraphFont"/>
    <w:rsid w:val="00AC2556"/>
  </w:style>
  <w:style w:type="table" w:styleId="TableGrid">
    <w:name w:val="Table Grid"/>
    <w:basedOn w:val="TableNormal"/>
    <w:uiPriority w:val="39"/>
    <w:rsid w:val="00C11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63B"/>
    <w:rPr>
      <w:sz w:val="16"/>
      <w:szCs w:val="16"/>
    </w:rPr>
  </w:style>
  <w:style w:type="paragraph" w:styleId="CommentText">
    <w:name w:val="annotation text"/>
    <w:basedOn w:val="Normal"/>
    <w:link w:val="CommentTextChar"/>
    <w:uiPriority w:val="99"/>
    <w:unhideWhenUsed/>
    <w:rsid w:val="0058263B"/>
    <w:pPr>
      <w:spacing w:line="240" w:lineRule="auto"/>
    </w:pPr>
    <w:rPr>
      <w:sz w:val="20"/>
      <w:szCs w:val="20"/>
    </w:rPr>
  </w:style>
  <w:style w:type="character" w:customStyle="1" w:styleId="CommentTextChar">
    <w:name w:val="Comment Text Char"/>
    <w:basedOn w:val="DefaultParagraphFont"/>
    <w:link w:val="CommentText"/>
    <w:uiPriority w:val="99"/>
    <w:rsid w:val="0058263B"/>
    <w:rPr>
      <w:sz w:val="20"/>
      <w:szCs w:val="20"/>
    </w:rPr>
  </w:style>
  <w:style w:type="paragraph" w:styleId="CommentSubject">
    <w:name w:val="annotation subject"/>
    <w:basedOn w:val="CommentText"/>
    <w:next w:val="CommentText"/>
    <w:link w:val="CommentSubjectChar"/>
    <w:uiPriority w:val="99"/>
    <w:semiHidden/>
    <w:unhideWhenUsed/>
    <w:rsid w:val="0058263B"/>
    <w:rPr>
      <w:b/>
      <w:bCs/>
    </w:rPr>
  </w:style>
  <w:style w:type="character" w:customStyle="1" w:styleId="CommentSubjectChar">
    <w:name w:val="Comment Subject Char"/>
    <w:basedOn w:val="CommentTextChar"/>
    <w:link w:val="CommentSubject"/>
    <w:uiPriority w:val="99"/>
    <w:semiHidden/>
    <w:rsid w:val="0058263B"/>
    <w:rPr>
      <w:b/>
      <w:bCs/>
      <w:sz w:val="20"/>
      <w:szCs w:val="20"/>
    </w:rPr>
  </w:style>
  <w:style w:type="character" w:customStyle="1" w:styleId="UnresolvedMention1">
    <w:name w:val="Unresolved Mention1"/>
    <w:basedOn w:val="DefaultParagraphFont"/>
    <w:uiPriority w:val="99"/>
    <w:semiHidden/>
    <w:unhideWhenUsed/>
    <w:rsid w:val="007B679B"/>
    <w:rPr>
      <w:color w:val="605E5C"/>
      <w:shd w:val="clear" w:color="auto" w:fill="E1DFDD"/>
    </w:rPr>
  </w:style>
  <w:style w:type="character" w:customStyle="1" w:styleId="apple-converted-space">
    <w:name w:val="apple-converted-space"/>
    <w:basedOn w:val="DefaultParagraphFont"/>
    <w:rsid w:val="0032179F"/>
  </w:style>
  <w:style w:type="paragraph" w:styleId="EndnoteText">
    <w:name w:val="endnote text"/>
    <w:basedOn w:val="Normal"/>
    <w:link w:val="EndnoteTextChar"/>
    <w:uiPriority w:val="99"/>
    <w:semiHidden/>
    <w:unhideWhenUsed/>
    <w:rsid w:val="00176BD1"/>
    <w:pPr>
      <w:spacing w:after="0" w:line="240" w:lineRule="auto"/>
    </w:pPr>
    <w:rPr>
      <w:sz w:val="20"/>
      <w:szCs w:val="20"/>
      <w:lang w:eastAsia="ko-KR"/>
    </w:rPr>
  </w:style>
  <w:style w:type="character" w:customStyle="1" w:styleId="EndnoteTextChar">
    <w:name w:val="Endnote Text Char"/>
    <w:basedOn w:val="DefaultParagraphFont"/>
    <w:link w:val="EndnoteText"/>
    <w:uiPriority w:val="99"/>
    <w:semiHidden/>
    <w:rsid w:val="00176BD1"/>
    <w:rPr>
      <w:sz w:val="20"/>
      <w:szCs w:val="20"/>
      <w:lang w:eastAsia="ko-KR"/>
    </w:rPr>
  </w:style>
  <w:style w:type="character" w:styleId="EndnoteReference">
    <w:name w:val="endnote reference"/>
    <w:basedOn w:val="DefaultParagraphFont"/>
    <w:uiPriority w:val="99"/>
    <w:semiHidden/>
    <w:unhideWhenUsed/>
    <w:rsid w:val="00176BD1"/>
    <w:rPr>
      <w:vertAlign w:val="superscript"/>
    </w:rPr>
  </w:style>
  <w:style w:type="paragraph" w:customStyle="1" w:styleId="Default">
    <w:name w:val="Default"/>
    <w:rsid w:val="004A63BA"/>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DD53D8"/>
    <w:pPr>
      <w:spacing w:after="100"/>
    </w:pPr>
  </w:style>
  <w:style w:type="paragraph" w:styleId="TOC2">
    <w:name w:val="toc 2"/>
    <w:basedOn w:val="Normal"/>
    <w:next w:val="Normal"/>
    <w:autoRedefine/>
    <w:uiPriority w:val="39"/>
    <w:unhideWhenUsed/>
    <w:rsid w:val="00DD53D8"/>
    <w:pPr>
      <w:spacing w:after="100"/>
      <w:ind w:left="220"/>
    </w:pPr>
  </w:style>
  <w:style w:type="paragraph" w:styleId="TOC3">
    <w:name w:val="toc 3"/>
    <w:basedOn w:val="Normal"/>
    <w:next w:val="Normal"/>
    <w:autoRedefine/>
    <w:uiPriority w:val="39"/>
    <w:unhideWhenUsed/>
    <w:rsid w:val="00DD53D8"/>
    <w:pPr>
      <w:spacing w:after="100"/>
      <w:ind w:left="440"/>
    </w:pPr>
  </w:style>
  <w:style w:type="character" w:styleId="FollowedHyperlink">
    <w:name w:val="FollowedHyperlink"/>
    <w:basedOn w:val="DefaultParagraphFont"/>
    <w:uiPriority w:val="99"/>
    <w:semiHidden/>
    <w:unhideWhenUsed/>
    <w:rsid w:val="00B76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8784">
      <w:bodyDiv w:val="1"/>
      <w:marLeft w:val="0"/>
      <w:marRight w:val="0"/>
      <w:marTop w:val="0"/>
      <w:marBottom w:val="0"/>
      <w:divBdr>
        <w:top w:val="none" w:sz="0" w:space="0" w:color="auto"/>
        <w:left w:val="none" w:sz="0" w:space="0" w:color="auto"/>
        <w:bottom w:val="none" w:sz="0" w:space="0" w:color="auto"/>
        <w:right w:val="none" w:sz="0" w:space="0" w:color="auto"/>
      </w:divBdr>
    </w:div>
    <w:div w:id="62681443">
      <w:bodyDiv w:val="1"/>
      <w:marLeft w:val="0"/>
      <w:marRight w:val="0"/>
      <w:marTop w:val="0"/>
      <w:marBottom w:val="0"/>
      <w:divBdr>
        <w:top w:val="none" w:sz="0" w:space="0" w:color="auto"/>
        <w:left w:val="none" w:sz="0" w:space="0" w:color="auto"/>
        <w:bottom w:val="none" w:sz="0" w:space="0" w:color="auto"/>
        <w:right w:val="none" w:sz="0" w:space="0" w:color="auto"/>
      </w:divBdr>
    </w:div>
    <w:div w:id="170074392">
      <w:bodyDiv w:val="1"/>
      <w:marLeft w:val="0"/>
      <w:marRight w:val="0"/>
      <w:marTop w:val="0"/>
      <w:marBottom w:val="0"/>
      <w:divBdr>
        <w:top w:val="none" w:sz="0" w:space="0" w:color="auto"/>
        <w:left w:val="none" w:sz="0" w:space="0" w:color="auto"/>
        <w:bottom w:val="none" w:sz="0" w:space="0" w:color="auto"/>
        <w:right w:val="none" w:sz="0" w:space="0" w:color="auto"/>
      </w:divBdr>
    </w:div>
    <w:div w:id="431901686">
      <w:bodyDiv w:val="1"/>
      <w:marLeft w:val="0"/>
      <w:marRight w:val="0"/>
      <w:marTop w:val="0"/>
      <w:marBottom w:val="0"/>
      <w:divBdr>
        <w:top w:val="none" w:sz="0" w:space="0" w:color="auto"/>
        <w:left w:val="none" w:sz="0" w:space="0" w:color="auto"/>
        <w:bottom w:val="none" w:sz="0" w:space="0" w:color="auto"/>
        <w:right w:val="none" w:sz="0" w:space="0" w:color="auto"/>
      </w:divBdr>
    </w:div>
    <w:div w:id="442578620">
      <w:bodyDiv w:val="1"/>
      <w:marLeft w:val="0"/>
      <w:marRight w:val="0"/>
      <w:marTop w:val="0"/>
      <w:marBottom w:val="0"/>
      <w:divBdr>
        <w:top w:val="none" w:sz="0" w:space="0" w:color="auto"/>
        <w:left w:val="none" w:sz="0" w:space="0" w:color="auto"/>
        <w:bottom w:val="none" w:sz="0" w:space="0" w:color="auto"/>
        <w:right w:val="none" w:sz="0" w:space="0" w:color="auto"/>
      </w:divBdr>
    </w:div>
    <w:div w:id="469716709">
      <w:bodyDiv w:val="1"/>
      <w:marLeft w:val="0"/>
      <w:marRight w:val="0"/>
      <w:marTop w:val="0"/>
      <w:marBottom w:val="0"/>
      <w:divBdr>
        <w:top w:val="none" w:sz="0" w:space="0" w:color="auto"/>
        <w:left w:val="none" w:sz="0" w:space="0" w:color="auto"/>
        <w:bottom w:val="none" w:sz="0" w:space="0" w:color="auto"/>
        <w:right w:val="none" w:sz="0" w:space="0" w:color="auto"/>
      </w:divBdr>
    </w:div>
    <w:div w:id="473641089">
      <w:bodyDiv w:val="1"/>
      <w:marLeft w:val="0"/>
      <w:marRight w:val="0"/>
      <w:marTop w:val="0"/>
      <w:marBottom w:val="0"/>
      <w:divBdr>
        <w:top w:val="none" w:sz="0" w:space="0" w:color="auto"/>
        <w:left w:val="none" w:sz="0" w:space="0" w:color="auto"/>
        <w:bottom w:val="none" w:sz="0" w:space="0" w:color="auto"/>
        <w:right w:val="none" w:sz="0" w:space="0" w:color="auto"/>
      </w:divBdr>
    </w:div>
    <w:div w:id="481428671">
      <w:bodyDiv w:val="1"/>
      <w:marLeft w:val="0"/>
      <w:marRight w:val="0"/>
      <w:marTop w:val="0"/>
      <w:marBottom w:val="0"/>
      <w:divBdr>
        <w:top w:val="none" w:sz="0" w:space="0" w:color="auto"/>
        <w:left w:val="none" w:sz="0" w:space="0" w:color="auto"/>
        <w:bottom w:val="none" w:sz="0" w:space="0" w:color="auto"/>
        <w:right w:val="none" w:sz="0" w:space="0" w:color="auto"/>
      </w:divBdr>
    </w:div>
    <w:div w:id="818959878">
      <w:bodyDiv w:val="1"/>
      <w:marLeft w:val="0"/>
      <w:marRight w:val="0"/>
      <w:marTop w:val="0"/>
      <w:marBottom w:val="0"/>
      <w:divBdr>
        <w:top w:val="none" w:sz="0" w:space="0" w:color="auto"/>
        <w:left w:val="none" w:sz="0" w:space="0" w:color="auto"/>
        <w:bottom w:val="none" w:sz="0" w:space="0" w:color="auto"/>
        <w:right w:val="none" w:sz="0" w:space="0" w:color="auto"/>
      </w:divBdr>
    </w:div>
    <w:div w:id="828524528">
      <w:bodyDiv w:val="1"/>
      <w:marLeft w:val="0"/>
      <w:marRight w:val="0"/>
      <w:marTop w:val="0"/>
      <w:marBottom w:val="0"/>
      <w:divBdr>
        <w:top w:val="none" w:sz="0" w:space="0" w:color="auto"/>
        <w:left w:val="none" w:sz="0" w:space="0" w:color="auto"/>
        <w:bottom w:val="none" w:sz="0" w:space="0" w:color="auto"/>
        <w:right w:val="none" w:sz="0" w:space="0" w:color="auto"/>
      </w:divBdr>
    </w:div>
    <w:div w:id="836650478">
      <w:bodyDiv w:val="1"/>
      <w:marLeft w:val="0"/>
      <w:marRight w:val="0"/>
      <w:marTop w:val="0"/>
      <w:marBottom w:val="0"/>
      <w:divBdr>
        <w:top w:val="none" w:sz="0" w:space="0" w:color="auto"/>
        <w:left w:val="none" w:sz="0" w:space="0" w:color="auto"/>
        <w:bottom w:val="none" w:sz="0" w:space="0" w:color="auto"/>
        <w:right w:val="none" w:sz="0" w:space="0" w:color="auto"/>
      </w:divBdr>
    </w:div>
    <w:div w:id="992181841">
      <w:bodyDiv w:val="1"/>
      <w:marLeft w:val="0"/>
      <w:marRight w:val="0"/>
      <w:marTop w:val="0"/>
      <w:marBottom w:val="0"/>
      <w:divBdr>
        <w:top w:val="none" w:sz="0" w:space="0" w:color="auto"/>
        <w:left w:val="none" w:sz="0" w:space="0" w:color="auto"/>
        <w:bottom w:val="none" w:sz="0" w:space="0" w:color="auto"/>
        <w:right w:val="none" w:sz="0" w:space="0" w:color="auto"/>
      </w:divBdr>
    </w:div>
    <w:div w:id="1030909402">
      <w:bodyDiv w:val="1"/>
      <w:marLeft w:val="0"/>
      <w:marRight w:val="0"/>
      <w:marTop w:val="0"/>
      <w:marBottom w:val="0"/>
      <w:divBdr>
        <w:top w:val="none" w:sz="0" w:space="0" w:color="auto"/>
        <w:left w:val="none" w:sz="0" w:space="0" w:color="auto"/>
        <w:bottom w:val="none" w:sz="0" w:space="0" w:color="auto"/>
        <w:right w:val="none" w:sz="0" w:space="0" w:color="auto"/>
      </w:divBdr>
    </w:div>
    <w:div w:id="1061441535">
      <w:bodyDiv w:val="1"/>
      <w:marLeft w:val="0"/>
      <w:marRight w:val="0"/>
      <w:marTop w:val="0"/>
      <w:marBottom w:val="0"/>
      <w:divBdr>
        <w:top w:val="none" w:sz="0" w:space="0" w:color="auto"/>
        <w:left w:val="none" w:sz="0" w:space="0" w:color="auto"/>
        <w:bottom w:val="none" w:sz="0" w:space="0" w:color="auto"/>
        <w:right w:val="none" w:sz="0" w:space="0" w:color="auto"/>
      </w:divBdr>
    </w:div>
    <w:div w:id="1087076666">
      <w:bodyDiv w:val="1"/>
      <w:marLeft w:val="0"/>
      <w:marRight w:val="0"/>
      <w:marTop w:val="0"/>
      <w:marBottom w:val="0"/>
      <w:divBdr>
        <w:top w:val="none" w:sz="0" w:space="0" w:color="auto"/>
        <w:left w:val="none" w:sz="0" w:space="0" w:color="auto"/>
        <w:bottom w:val="none" w:sz="0" w:space="0" w:color="auto"/>
        <w:right w:val="none" w:sz="0" w:space="0" w:color="auto"/>
      </w:divBdr>
    </w:div>
    <w:div w:id="1143690602">
      <w:bodyDiv w:val="1"/>
      <w:marLeft w:val="0"/>
      <w:marRight w:val="0"/>
      <w:marTop w:val="0"/>
      <w:marBottom w:val="0"/>
      <w:divBdr>
        <w:top w:val="none" w:sz="0" w:space="0" w:color="auto"/>
        <w:left w:val="none" w:sz="0" w:space="0" w:color="auto"/>
        <w:bottom w:val="none" w:sz="0" w:space="0" w:color="auto"/>
        <w:right w:val="none" w:sz="0" w:space="0" w:color="auto"/>
      </w:divBdr>
    </w:div>
    <w:div w:id="1191914037">
      <w:bodyDiv w:val="1"/>
      <w:marLeft w:val="0"/>
      <w:marRight w:val="0"/>
      <w:marTop w:val="0"/>
      <w:marBottom w:val="0"/>
      <w:divBdr>
        <w:top w:val="none" w:sz="0" w:space="0" w:color="auto"/>
        <w:left w:val="none" w:sz="0" w:space="0" w:color="auto"/>
        <w:bottom w:val="none" w:sz="0" w:space="0" w:color="auto"/>
        <w:right w:val="none" w:sz="0" w:space="0" w:color="auto"/>
      </w:divBdr>
      <w:divsChild>
        <w:div w:id="8459452">
          <w:marLeft w:val="0"/>
          <w:marRight w:val="0"/>
          <w:marTop w:val="0"/>
          <w:marBottom w:val="0"/>
          <w:divBdr>
            <w:top w:val="none" w:sz="0" w:space="0" w:color="auto"/>
            <w:left w:val="none" w:sz="0" w:space="0" w:color="auto"/>
            <w:bottom w:val="none" w:sz="0" w:space="0" w:color="auto"/>
            <w:right w:val="none" w:sz="0" w:space="0" w:color="auto"/>
          </w:divBdr>
        </w:div>
        <w:div w:id="30156318">
          <w:marLeft w:val="0"/>
          <w:marRight w:val="0"/>
          <w:marTop w:val="0"/>
          <w:marBottom w:val="0"/>
          <w:divBdr>
            <w:top w:val="none" w:sz="0" w:space="0" w:color="auto"/>
            <w:left w:val="none" w:sz="0" w:space="0" w:color="auto"/>
            <w:bottom w:val="none" w:sz="0" w:space="0" w:color="auto"/>
            <w:right w:val="none" w:sz="0" w:space="0" w:color="auto"/>
          </w:divBdr>
        </w:div>
        <w:div w:id="34621293">
          <w:marLeft w:val="0"/>
          <w:marRight w:val="0"/>
          <w:marTop w:val="0"/>
          <w:marBottom w:val="0"/>
          <w:divBdr>
            <w:top w:val="none" w:sz="0" w:space="0" w:color="auto"/>
            <w:left w:val="none" w:sz="0" w:space="0" w:color="auto"/>
            <w:bottom w:val="none" w:sz="0" w:space="0" w:color="auto"/>
            <w:right w:val="none" w:sz="0" w:space="0" w:color="auto"/>
          </w:divBdr>
        </w:div>
        <w:div w:id="41489194">
          <w:marLeft w:val="0"/>
          <w:marRight w:val="0"/>
          <w:marTop w:val="0"/>
          <w:marBottom w:val="0"/>
          <w:divBdr>
            <w:top w:val="none" w:sz="0" w:space="0" w:color="auto"/>
            <w:left w:val="none" w:sz="0" w:space="0" w:color="auto"/>
            <w:bottom w:val="none" w:sz="0" w:space="0" w:color="auto"/>
            <w:right w:val="none" w:sz="0" w:space="0" w:color="auto"/>
          </w:divBdr>
        </w:div>
        <w:div w:id="69815868">
          <w:marLeft w:val="0"/>
          <w:marRight w:val="0"/>
          <w:marTop w:val="0"/>
          <w:marBottom w:val="0"/>
          <w:divBdr>
            <w:top w:val="none" w:sz="0" w:space="0" w:color="auto"/>
            <w:left w:val="none" w:sz="0" w:space="0" w:color="auto"/>
            <w:bottom w:val="none" w:sz="0" w:space="0" w:color="auto"/>
            <w:right w:val="none" w:sz="0" w:space="0" w:color="auto"/>
          </w:divBdr>
        </w:div>
        <w:div w:id="70127576">
          <w:marLeft w:val="0"/>
          <w:marRight w:val="0"/>
          <w:marTop w:val="0"/>
          <w:marBottom w:val="0"/>
          <w:divBdr>
            <w:top w:val="none" w:sz="0" w:space="0" w:color="auto"/>
            <w:left w:val="none" w:sz="0" w:space="0" w:color="auto"/>
            <w:bottom w:val="none" w:sz="0" w:space="0" w:color="auto"/>
            <w:right w:val="none" w:sz="0" w:space="0" w:color="auto"/>
          </w:divBdr>
        </w:div>
        <w:div w:id="120390495">
          <w:marLeft w:val="0"/>
          <w:marRight w:val="0"/>
          <w:marTop w:val="0"/>
          <w:marBottom w:val="0"/>
          <w:divBdr>
            <w:top w:val="none" w:sz="0" w:space="0" w:color="auto"/>
            <w:left w:val="none" w:sz="0" w:space="0" w:color="auto"/>
            <w:bottom w:val="none" w:sz="0" w:space="0" w:color="auto"/>
            <w:right w:val="none" w:sz="0" w:space="0" w:color="auto"/>
          </w:divBdr>
        </w:div>
        <w:div w:id="129590997">
          <w:marLeft w:val="0"/>
          <w:marRight w:val="0"/>
          <w:marTop w:val="0"/>
          <w:marBottom w:val="0"/>
          <w:divBdr>
            <w:top w:val="none" w:sz="0" w:space="0" w:color="auto"/>
            <w:left w:val="none" w:sz="0" w:space="0" w:color="auto"/>
            <w:bottom w:val="none" w:sz="0" w:space="0" w:color="auto"/>
            <w:right w:val="none" w:sz="0" w:space="0" w:color="auto"/>
          </w:divBdr>
        </w:div>
        <w:div w:id="130754055">
          <w:marLeft w:val="0"/>
          <w:marRight w:val="0"/>
          <w:marTop w:val="0"/>
          <w:marBottom w:val="0"/>
          <w:divBdr>
            <w:top w:val="none" w:sz="0" w:space="0" w:color="auto"/>
            <w:left w:val="none" w:sz="0" w:space="0" w:color="auto"/>
            <w:bottom w:val="none" w:sz="0" w:space="0" w:color="auto"/>
            <w:right w:val="none" w:sz="0" w:space="0" w:color="auto"/>
          </w:divBdr>
        </w:div>
        <w:div w:id="153498449">
          <w:marLeft w:val="0"/>
          <w:marRight w:val="0"/>
          <w:marTop w:val="0"/>
          <w:marBottom w:val="0"/>
          <w:divBdr>
            <w:top w:val="none" w:sz="0" w:space="0" w:color="auto"/>
            <w:left w:val="none" w:sz="0" w:space="0" w:color="auto"/>
            <w:bottom w:val="none" w:sz="0" w:space="0" w:color="auto"/>
            <w:right w:val="none" w:sz="0" w:space="0" w:color="auto"/>
          </w:divBdr>
        </w:div>
        <w:div w:id="224218299">
          <w:marLeft w:val="0"/>
          <w:marRight w:val="0"/>
          <w:marTop w:val="0"/>
          <w:marBottom w:val="0"/>
          <w:divBdr>
            <w:top w:val="none" w:sz="0" w:space="0" w:color="auto"/>
            <w:left w:val="none" w:sz="0" w:space="0" w:color="auto"/>
            <w:bottom w:val="none" w:sz="0" w:space="0" w:color="auto"/>
            <w:right w:val="none" w:sz="0" w:space="0" w:color="auto"/>
          </w:divBdr>
        </w:div>
        <w:div w:id="238289071">
          <w:marLeft w:val="0"/>
          <w:marRight w:val="0"/>
          <w:marTop w:val="0"/>
          <w:marBottom w:val="0"/>
          <w:divBdr>
            <w:top w:val="none" w:sz="0" w:space="0" w:color="auto"/>
            <w:left w:val="none" w:sz="0" w:space="0" w:color="auto"/>
            <w:bottom w:val="none" w:sz="0" w:space="0" w:color="auto"/>
            <w:right w:val="none" w:sz="0" w:space="0" w:color="auto"/>
          </w:divBdr>
        </w:div>
        <w:div w:id="300228672">
          <w:marLeft w:val="0"/>
          <w:marRight w:val="0"/>
          <w:marTop w:val="0"/>
          <w:marBottom w:val="0"/>
          <w:divBdr>
            <w:top w:val="none" w:sz="0" w:space="0" w:color="auto"/>
            <w:left w:val="none" w:sz="0" w:space="0" w:color="auto"/>
            <w:bottom w:val="none" w:sz="0" w:space="0" w:color="auto"/>
            <w:right w:val="none" w:sz="0" w:space="0" w:color="auto"/>
          </w:divBdr>
        </w:div>
        <w:div w:id="308873273">
          <w:marLeft w:val="0"/>
          <w:marRight w:val="0"/>
          <w:marTop w:val="0"/>
          <w:marBottom w:val="0"/>
          <w:divBdr>
            <w:top w:val="none" w:sz="0" w:space="0" w:color="auto"/>
            <w:left w:val="none" w:sz="0" w:space="0" w:color="auto"/>
            <w:bottom w:val="none" w:sz="0" w:space="0" w:color="auto"/>
            <w:right w:val="none" w:sz="0" w:space="0" w:color="auto"/>
          </w:divBdr>
        </w:div>
        <w:div w:id="312103762">
          <w:marLeft w:val="0"/>
          <w:marRight w:val="0"/>
          <w:marTop w:val="0"/>
          <w:marBottom w:val="0"/>
          <w:divBdr>
            <w:top w:val="none" w:sz="0" w:space="0" w:color="auto"/>
            <w:left w:val="none" w:sz="0" w:space="0" w:color="auto"/>
            <w:bottom w:val="none" w:sz="0" w:space="0" w:color="auto"/>
            <w:right w:val="none" w:sz="0" w:space="0" w:color="auto"/>
          </w:divBdr>
        </w:div>
        <w:div w:id="360937116">
          <w:marLeft w:val="0"/>
          <w:marRight w:val="0"/>
          <w:marTop w:val="0"/>
          <w:marBottom w:val="0"/>
          <w:divBdr>
            <w:top w:val="none" w:sz="0" w:space="0" w:color="auto"/>
            <w:left w:val="none" w:sz="0" w:space="0" w:color="auto"/>
            <w:bottom w:val="none" w:sz="0" w:space="0" w:color="auto"/>
            <w:right w:val="none" w:sz="0" w:space="0" w:color="auto"/>
          </w:divBdr>
        </w:div>
        <w:div w:id="466314244">
          <w:marLeft w:val="0"/>
          <w:marRight w:val="0"/>
          <w:marTop w:val="0"/>
          <w:marBottom w:val="0"/>
          <w:divBdr>
            <w:top w:val="none" w:sz="0" w:space="0" w:color="auto"/>
            <w:left w:val="none" w:sz="0" w:space="0" w:color="auto"/>
            <w:bottom w:val="none" w:sz="0" w:space="0" w:color="auto"/>
            <w:right w:val="none" w:sz="0" w:space="0" w:color="auto"/>
          </w:divBdr>
        </w:div>
        <w:div w:id="470220814">
          <w:marLeft w:val="0"/>
          <w:marRight w:val="0"/>
          <w:marTop w:val="0"/>
          <w:marBottom w:val="0"/>
          <w:divBdr>
            <w:top w:val="none" w:sz="0" w:space="0" w:color="auto"/>
            <w:left w:val="none" w:sz="0" w:space="0" w:color="auto"/>
            <w:bottom w:val="none" w:sz="0" w:space="0" w:color="auto"/>
            <w:right w:val="none" w:sz="0" w:space="0" w:color="auto"/>
          </w:divBdr>
        </w:div>
        <w:div w:id="483549403">
          <w:marLeft w:val="0"/>
          <w:marRight w:val="0"/>
          <w:marTop w:val="0"/>
          <w:marBottom w:val="0"/>
          <w:divBdr>
            <w:top w:val="none" w:sz="0" w:space="0" w:color="auto"/>
            <w:left w:val="none" w:sz="0" w:space="0" w:color="auto"/>
            <w:bottom w:val="none" w:sz="0" w:space="0" w:color="auto"/>
            <w:right w:val="none" w:sz="0" w:space="0" w:color="auto"/>
          </w:divBdr>
        </w:div>
        <w:div w:id="495346921">
          <w:marLeft w:val="0"/>
          <w:marRight w:val="0"/>
          <w:marTop w:val="0"/>
          <w:marBottom w:val="0"/>
          <w:divBdr>
            <w:top w:val="none" w:sz="0" w:space="0" w:color="auto"/>
            <w:left w:val="none" w:sz="0" w:space="0" w:color="auto"/>
            <w:bottom w:val="none" w:sz="0" w:space="0" w:color="auto"/>
            <w:right w:val="none" w:sz="0" w:space="0" w:color="auto"/>
          </w:divBdr>
        </w:div>
        <w:div w:id="515846135">
          <w:marLeft w:val="0"/>
          <w:marRight w:val="0"/>
          <w:marTop w:val="0"/>
          <w:marBottom w:val="0"/>
          <w:divBdr>
            <w:top w:val="none" w:sz="0" w:space="0" w:color="auto"/>
            <w:left w:val="none" w:sz="0" w:space="0" w:color="auto"/>
            <w:bottom w:val="none" w:sz="0" w:space="0" w:color="auto"/>
            <w:right w:val="none" w:sz="0" w:space="0" w:color="auto"/>
          </w:divBdr>
        </w:div>
        <w:div w:id="538053344">
          <w:marLeft w:val="0"/>
          <w:marRight w:val="0"/>
          <w:marTop w:val="0"/>
          <w:marBottom w:val="0"/>
          <w:divBdr>
            <w:top w:val="none" w:sz="0" w:space="0" w:color="auto"/>
            <w:left w:val="none" w:sz="0" w:space="0" w:color="auto"/>
            <w:bottom w:val="none" w:sz="0" w:space="0" w:color="auto"/>
            <w:right w:val="none" w:sz="0" w:space="0" w:color="auto"/>
          </w:divBdr>
        </w:div>
        <w:div w:id="544220491">
          <w:marLeft w:val="0"/>
          <w:marRight w:val="0"/>
          <w:marTop w:val="0"/>
          <w:marBottom w:val="0"/>
          <w:divBdr>
            <w:top w:val="none" w:sz="0" w:space="0" w:color="auto"/>
            <w:left w:val="none" w:sz="0" w:space="0" w:color="auto"/>
            <w:bottom w:val="none" w:sz="0" w:space="0" w:color="auto"/>
            <w:right w:val="none" w:sz="0" w:space="0" w:color="auto"/>
          </w:divBdr>
        </w:div>
        <w:div w:id="584844398">
          <w:marLeft w:val="0"/>
          <w:marRight w:val="0"/>
          <w:marTop w:val="0"/>
          <w:marBottom w:val="0"/>
          <w:divBdr>
            <w:top w:val="none" w:sz="0" w:space="0" w:color="auto"/>
            <w:left w:val="none" w:sz="0" w:space="0" w:color="auto"/>
            <w:bottom w:val="none" w:sz="0" w:space="0" w:color="auto"/>
            <w:right w:val="none" w:sz="0" w:space="0" w:color="auto"/>
          </w:divBdr>
        </w:div>
        <w:div w:id="628433814">
          <w:marLeft w:val="0"/>
          <w:marRight w:val="0"/>
          <w:marTop w:val="0"/>
          <w:marBottom w:val="0"/>
          <w:divBdr>
            <w:top w:val="none" w:sz="0" w:space="0" w:color="auto"/>
            <w:left w:val="none" w:sz="0" w:space="0" w:color="auto"/>
            <w:bottom w:val="none" w:sz="0" w:space="0" w:color="auto"/>
            <w:right w:val="none" w:sz="0" w:space="0" w:color="auto"/>
          </w:divBdr>
        </w:div>
        <w:div w:id="702100051">
          <w:marLeft w:val="0"/>
          <w:marRight w:val="0"/>
          <w:marTop w:val="0"/>
          <w:marBottom w:val="0"/>
          <w:divBdr>
            <w:top w:val="none" w:sz="0" w:space="0" w:color="auto"/>
            <w:left w:val="none" w:sz="0" w:space="0" w:color="auto"/>
            <w:bottom w:val="none" w:sz="0" w:space="0" w:color="auto"/>
            <w:right w:val="none" w:sz="0" w:space="0" w:color="auto"/>
          </w:divBdr>
        </w:div>
        <w:div w:id="716393913">
          <w:marLeft w:val="0"/>
          <w:marRight w:val="0"/>
          <w:marTop w:val="0"/>
          <w:marBottom w:val="0"/>
          <w:divBdr>
            <w:top w:val="none" w:sz="0" w:space="0" w:color="auto"/>
            <w:left w:val="none" w:sz="0" w:space="0" w:color="auto"/>
            <w:bottom w:val="none" w:sz="0" w:space="0" w:color="auto"/>
            <w:right w:val="none" w:sz="0" w:space="0" w:color="auto"/>
          </w:divBdr>
        </w:div>
        <w:div w:id="723407399">
          <w:marLeft w:val="0"/>
          <w:marRight w:val="0"/>
          <w:marTop w:val="0"/>
          <w:marBottom w:val="0"/>
          <w:divBdr>
            <w:top w:val="none" w:sz="0" w:space="0" w:color="auto"/>
            <w:left w:val="none" w:sz="0" w:space="0" w:color="auto"/>
            <w:bottom w:val="none" w:sz="0" w:space="0" w:color="auto"/>
            <w:right w:val="none" w:sz="0" w:space="0" w:color="auto"/>
          </w:divBdr>
        </w:div>
        <w:div w:id="770979126">
          <w:marLeft w:val="0"/>
          <w:marRight w:val="0"/>
          <w:marTop w:val="0"/>
          <w:marBottom w:val="0"/>
          <w:divBdr>
            <w:top w:val="none" w:sz="0" w:space="0" w:color="auto"/>
            <w:left w:val="none" w:sz="0" w:space="0" w:color="auto"/>
            <w:bottom w:val="none" w:sz="0" w:space="0" w:color="auto"/>
            <w:right w:val="none" w:sz="0" w:space="0" w:color="auto"/>
          </w:divBdr>
        </w:div>
        <w:div w:id="782917397">
          <w:marLeft w:val="0"/>
          <w:marRight w:val="0"/>
          <w:marTop w:val="0"/>
          <w:marBottom w:val="0"/>
          <w:divBdr>
            <w:top w:val="none" w:sz="0" w:space="0" w:color="auto"/>
            <w:left w:val="none" w:sz="0" w:space="0" w:color="auto"/>
            <w:bottom w:val="none" w:sz="0" w:space="0" w:color="auto"/>
            <w:right w:val="none" w:sz="0" w:space="0" w:color="auto"/>
          </w:divBdr>
        </w:div>
        <w:div w:id="834802296">
          <w:marLeft w:val="0"/>
          <w:marRight w:val="0"/>
          <w:marTop w:val="0"/>
          <w:marBottom w:val="0"/>
          <w:divBdr>
            <w:top w:val="none" w:sz="0" w:space="0" w:color="auto"/>
            <w:left w:val="none" w:sz="0" w:space="0" w:color="auto"/>
            <w:bottom w:val="none" w:sz="0" w:space="0" w:color="auto"/>
            <w:right w:val="none" w:sz="0" w:space="0" w:color="auto"/>
          </w:divBdr>
        </w:div>
        <w:div w:id="861864514">
          <w:marLeft w:val="0"/>
          <w:marRight w:val="0"/>
          <w:marTop w:val="0"/>
          <w:marBottom w:val="0"/>
          <w:divBdr>
            <w:top w:val="none" w:sz="0" w:space="0" w:color="auto"/>
            <w:left w:val="none" w:sz="0" w:space="0" w:color="auto"/>
            <w:bottom w:val="none" w:sz="0" w:space="0" w:color="auto"/>
            <w:right w:val="none" w:sz="0" w:space="0" w:color="auto"/>
          </w:divBdr>
        </w:div>
        <w:div w:id="924194516">
          <w:marLeft w:val="0"/>
          <w:marRight w:val="0"/>
          <w:marTop w:val="0"/>
          <w:marBottom w:val="0"/>
          <w:divBdr>
            <w:top w:val="none" w:sz="0" w:space="0" w:color="auto"/>
            <w:left w:val="none" w:sz="0" w:space="0" w:color="auto"/>
            <w:bottom w:val="none" w:sz="0" w:space="0" w:color="auto"/>
            <w:right w:val="none" w:sz="0" w:space="0" w:color="auto"/>
          </w:divBdr>
        </w:div>
        <w:div w:id="928198211">
          <w:marLeft w:val="0"/>
          <w:marRight w:val="0"/>
          <w:marTop w:val="0"/>
          <w:marBottom w:val="0"/>
          <w:divBdr>
            <w:top w:val="none" w:sz="0" w:space="0" w:color="auto"/>
            <w:left w:val="none" w:sz="0" w:space="0" w:color="auto"/>
            <w:bottom w:val="none" w:sz="0" w:space="0" w:color="auto"/>
            <w:right w:val="none" w:sz="0" w:space="0" w:color="auto"/>
          </w:divBdr>
        </w:div>
        <w:div w:id="929893129">
          <w:marLeft w:val="0"/>
          <w:marRight w:val="0"/>
          <w:marTop w:val="0"/>
          <w:marBottom w:val="0"/>
          <w:divBdr>
            <w:top w:val="none" w:sz="0" w:space="0" w:color="auto"/>
            <w:left w:val="none" w:sz="0" w:space="0" w:color="auto"/>
            <w:bottom w:val="none" w:sz="0" w:space="0" w:color="auto"/>
            <w:right w:val="none" w:sz="0" w:space="0" w:color="auto"/>
          </w:divBdr>
        </w:div>
        <w:div w:id="932475948">
          <w:marLeft w:val="0"/>
          <w:marRight w:val="0"/>
          <w:marTop w:val="0"/>
          <w:marBottom w:val="0"/>
          <w:divBdr>
            <w:top w:val="none" w:sz="0" w:space="0" w:color="auto"/>
            <w:left w:val="none" w:sz="0" w:space="0" w:color="auto"/>
            <w:bottom w:val="none" w:sz="0" w:space="0" w:color="auto"/>
            <w:right w:val="none" w:sz="0" w:space="0" w:color="auto"/>
          </w:divBdr>
        </w:div>
        <w:div w:id="947354445">
          <w:marLeft w:val="0"/>
          <w:marRight w:val="0"/>
          <w:marTop w:val="0"/>
          <w:marBottom w:val="0"/>
          <w:divBdr>
            <w:top w:val="none" w:sz="0" w:space="0" w:color="auto"/>
            <w:left w:val="none" w:sz="0" w:space="0" w:color="auto"/>
            <w:bottom w:val="none" w:sz="0" w:space="0" w:color="auto"/>
            <w:right w:val="none" w:sz="0" w:space="0" w:color="auto"/>
          </w:divBdr>
        </w:div>
        <w:div w:id="1009680090">
          <w:marLeft w:val="0"/>
          <w:marRight w:val="0"/>
          <w:marTop w:val="0"/>
          <w:marBottom w:val="0"/>
          <w:divBdr>
            <w:top w:val="none" w:sz="0" w:space="0" w:color="auto"/>
            <w:left w:val="none" w:sz="0" w:space="0" w:color="auto"/>
            <w:bottom w:val="none" w:sz="0" w:space="0" w:color="auto"/>
            <w:right w:val="none" w:sz="0" w:space="0" w:color="auto"/>
          </w:divBdr>
        </w:div>
        <w:div w:id="1029834489">
          <w:marLeft w:val="0"/>
          <w:marRight w:val="0"/>
          <w:marTop w:val="0"/>
          <w:marBottom w:val="0"/>
          <w:divBdr>
            <w:top w:val="none" w:sz="0" w:space="0" w:color="auto"/>
            <w:left w:val="none" w:sz="0" w:space="0" w:color="auto"/>
            <w:bottom w:val="none" w:sz="0" w:space="0" w:color="auto"/>
            <w:right w:val="none" w:sz="0" w:space="0" w:color="auto"/>
          </w:divBdr>
        </w:div>
        <w:div w:id="1053696564">
          <w:marLeft w:val="0"/>
          <w:marRight w:val="0"/>
          <w:marTop w:val="0"/>
          <w:marBottom w:val="0"/>
          <w:divBdr>
            <w:top w:val="none" w:sz="0" w:space="0" w:color="auto"/>
            <w:left w:val="none" w:sz="0" w:space="0" w:color="auto"/>
            <w:bottom w:val="none" w:sz="0" w:space="0" w:color="auto"/>
            <w:right w:val="none" w:sz="0" w:space="0" w:color="auto"/>
          </w:divBdr>
        </w:div>
        <w:div w:id="1058435743">
          <w:marLeft w:val="0"/>
          <w:marRight w:val="0"/>
          <w:marTop w:val="0"/>
          <w:marBottom w:val="0"/>
          <w:divBdr>
            <w:top w:val="none" w:sz="0" w:space="0" w:color="auto"/>
            <w:left w:val="none" w:sz="0" w:space="0" w:color="auto"/>
            <w:bottom w:val="none" w:sz="0" w:space="0" w:color="auto"/>
            <w:right w:val="none" w:sz="0" w:space="0" w:color="auto"/>
          </w:divBdr>
        </w:div>
        <w:div w:id="1059667143">
          <w:marLeft w:val="0"/>
          <w:marRight w:val="0"/>
          <w:marTop w:val="0"/>
          <w:marBottom w:val="0"/>
          <w:divBdr>
            <w:top w:val="none" w:sz="0" w:space="0" w:color="auto"/>
            <w:left w:val="none" w:sz="0" w:space="0" w:color="auto"/>
            <w:bottom w:val="none" w:sz="0" w:space="0" w:color="auto"/>
            <w:right w:val="none" w:sz="0" w:space="0" w:color="auto"/>
          </w:divBdr>
        </w:div>
        <w:div w:id="1073742243">
          <w:marLeft w:val="0"/>
          <w:marRight w:val="0"/>
          <w:marTop w:val="0"/>
          <w:marBottom w:val="0"/>
          <w:divBdr>
            <w:top w:val="none" w:sz="0" w:space="0" w:color="auto"/>
            <w:left w:val="none" w:sz="0" w:space="0" w:color="auto"/>
            <w:bottom w:val="none" w:sz="0" w:space="0" w:color="auto"/>
            <w:right w:val="none" w:sz="0" w:space="0" w:color="auto"/>
          </w:divBdr>
        </w:div>
        <w:div w:id="1097361458">
          <w:marLeft w:val="0"/>
          <w:marRight w:val="0"/>
          <w:marTop w:val="0"/>
          <w:marBottom w:val="0"/>
          <w:divBdr>
            <w:top w:val="none" w:sz="0" w:space="0" w:color="auto"/>
            <w:left w:val="none" w:sz="0" w:space="0" w:color="auto"/>
            <w:bottom w:val="none" w:sz="0" w:space="0" w:color="auto"/>
            <w:right w:val="none" w:sz="0" w:space="0" w:color="auto"/>
          </w:divBdr>
        </w:div>
        <w:div w:id="1127116214">
          <w:marLeft w:val="0"/>
          <w:marRight w:val="0"/>
          <w:marTop w:val="0"/>
          <w:marBottom w:val="0"/>
          <w:divBdr>
            <w:top w:val="none" w:sz="0" w:space="0" w:color="auto"/>
            <w:left w:val="none" w:sz="0" w:space="0" w:color="auto"/>
            <w:bottom w:val="none" w:sz="0" w:space="0" w:color="auto"/>
            <w:right w:val="none" w:sz="0" w:space="0" w:color="auto"/>
          </w:divBdr>
        </w:div>
        <w:div w:id="1206604331">
          <w:marLeft w:val="0"/>
          <w:marRight w:val="0"/>
          <w:marTop w:val="0"/>
          <w:marBottom w:val="0"/>
          <w:divBdr>
            <w:top w:val="none" w:sz="0" w:space="0" w:color="auto"/>
            <w:left w:val="none" w:sz="0" w:space="0" w:color="auto"/>
            <w:bottom w:val="none" w:sz="0" w:space="0" w:color="auto"/>
            <w:right w:val="none" w:sz="0" w:space="0" w:color="auto"/>
          </w:divBdr>
        </w:div>
        <w:div w:id="1214543407">
          <w:marLeft w:val="0"/>
          <w:marRight w:val="0"/>
          <w:marTop w:val="0"/>
          <w:marBottom w:val="0"/>
          <w:divBdr>
            <w:top w:val="none" w:sz="0" w:space="0" w:color="auto"/>
            <w:left w:val="none" w:sz="0" w:space="0" w:color="auto"/>
            <w:bottom w:val="none" w:sz="0" w:space="0" w:color="auto"/>
            <w:right w:val="none" w:sz="0" w:space="0" w:color="auto"/>
          </w:divBdr>
        </w:div>
        <w:div w:id="1256086510">
          <w:marLeft w:val="0"/>
          <w:marRight w:val="0"/>
          <w:marTop w:val="0"/>
          <w:marBottom w:val="0"/>
          <w:divBdr>
            <w:top w:val="none" w:sz="0" w:space="0" w:color="auto"/>
            <w:left w:val="none" w:sz="0" w:space="0" w:color="auto"/>
            <w:bottom w:val="none" w:sz="0" w:space="0" w:color="auto"/>
            <w:right w:val="none" w:sz="0" w:space="0" w:color="auto"/>
          </w:divBdr>
        </w:div>
        <w:div w:id="1267883614">
          <w:marLeft w:val="0"/>
          <w:marRight w:val="0"/>
          <w:marTop w:val="0"/>
          <w:marBottom w:val="0"/>
          <w:divBdr>
            <w:top w:val="none" w:sz="0" w:space="0" w:color="auto"/>
            <w:left w:val="none" w:sz="0" w:space="0" w:color="auto"/>
            <w:bottom w:val="none" w:sz="0" w:space="0" w:color="auto"/>
            <w:right w:val="none" w:sz="0" w:space="0" w:color="auto"/>
          </w:divBdr>
        </w:div>
        <w:div w:id="1307201459">
          <w:marLeft w:val="0"/>
          <w:marRight w:val="0"/>
          <w:marTop w:val="0"/>
          <w:marBottom w:val="0"/>
          <w:divBdr>
            <w:top w:val="none" w:sz="0" w:space="0" w:color="auto"/>
            <w:left w:val="none" w:sz="0" w:space="0" w:color="auto"/>
            <w:bottom w:val="none" w:sz="0" w:space="0" w:color="auto"/>
            <w:right w:val="none" w:sz="0" w:space="0" w:color="auto"/>
          </w:divBdr>
        </w:div>
        <w:div w:id="1309941192">
          <w:marLeft w:val="0"/>
          <w:marRight w:val="0"/>
          <w:marTop w:val="0"/>
          <w:marBottom w:val="0"/>
          <w:divBdr>
            <w:top w:val="none" w:sz="0" w:space="0" w:color="auto"/>
            <w:left w:val="none" w:sz="0" w:space="0" w:color="auto"/>
            <w:bottom w:val="none" w:sz="0" w:space="0" w:color="auto"/>
            <w:right w:val="none" w:sz="0" w:space="0" w:color="auto"/>
          </w:divBdr>
        </w:div>
        <w:div w:id="1315991243">
          <w:marLeft w:val="0"/>
          <w:marRight w:val="0"/>
          <w:marTop w:val="0"/>
          <w:marBottom w:val="0"/>
          <w:divBdr>
            <w:top w:val="none" w:sz="0" w:space="0" w:color="auto"/>
            <w:left w:val="none" w:sz="0" w:space="0" w:color="auto"/>
            <w:bottom w:val="none" w:sz="0" w:space="0" w:color="auto"/>
            <w:right w:val="none" w:sz="0" w:space="0" w:color="auto"/>
          </w:divBdr>
        </w:div>
        <w:div w:id="1349453514">
          <w:marLeft w:val="0"/>
          <w:marRight w:val="0"/>
          <w:marTop w:val="0"/>
          <w:marBottom w:val="0"/>
          <w:divBdr>
            <w:top w:val="none" w:sz="0" w:space="0" w:color="auto"/>
            <w:left w:val="none" w:sz="0" w:space="0" w:color="auto"/>
            <w:bottom w:val="none" w:sz="0" w:space="0" w:color="auto"/>
            <w:right w:val="none" w:sz="0" w:space="0" w:color="auto"/>
          </w:divBdr>
        </w:div>
        <w:div w:id="1393389156">
          <w:marLeft w:val="0"/>
          <w:marRight w:val="0"/>
          <w:marTop w:val="0"/>
          <w:marBottom w:val="0"/>
          <w:divBdr>
            <w:top w:val="none" w:sz="0" w:space="0" w:color="auto"/>
            <w:left w:val="none" w:sz="0" w:space="0" w:color="auto"/>
            <w:bottom w:val="none" w:sz="0" w:space="0" w:color="auto"/>
            <w:right w:val="none" w:sz="0" w:space="0" w:color="auto"/>
          </w:divBdr>
        </w:div>
        <w:div w:id="1404183215">
          <w:marLeft w:val="0"/>
          <w:marRight w:val="0"/>
          <w:marTop w:val="0"/>
          <w:marBottom w:val="0"/>
          <w:divBdr>
            <w:top w:val="none" w:sz="0" w:space="0" w:color="auto"/>
            <w:left w:val="none" w:sz="0" w:space="0" w:color="auto"/>
            <w:bottom w:val="none" w:sz="0" w:space="0" w:color="auto"/>
            <w:right w:val="none" w:sz="0" w:space="0" w:color="auto"/>
          </w:divBdr>
        </w:div>
        <w:div w:id="1411544668">
          <w:marLeft w:val="0"/>
          <w:marRight w:val="0"/>
          <w:marTop w:val="0"/>
          <w:marBottom w:val="0"/>
          <w:divBdr>
            <w:top w:val="none" w:sz="0" w:space="0" w:color="auto"/>
            <w:left w:val="none" w:sz="0" w:space="0" w:color="auto"/>
            <w:bottom w:val="none" w:sz="0" w:space="0" w:color="auto"/>
            <w:right w:val="none" w:sz="0" w:space="0" w:color="auto"/>
          </w:divBdr>
        </w:div>
        <w:div w:id="1437093590">
          <w:marLeft w:val="0"/>
          <w:marRight w:val="0"/>
          <w:marTop w:val="0"/>
          <w:marBottom w:val="0"/>
          <w:divBdr>
            <w:top w:val="none" w:sz="0" w:space="0" w:color="auto"/>
            <w:left w:val="none" w:sz="0" w:space="0" w:color="auto"/>
            <w:bottom w:val="none" w:sz="0" w:space="0" w:color="auto"/>
            <w:right w:val="none" w:sz="0" w:space="0" w:color="auto"/>
          </w:divBdr>
        </w:div>
        <w:div w:id="1499425122">
          <w:marLeft w:val="0"/>
          <w:marRight w:val="0"/>
          <w:marTop w:val="0"/>
          <w:marBottom w:val="0"/>
          <w:divBdr>
            <w:top w:val="none" w:sz="0" w:space="0" w:color="auto"/>
            <w:left w:val="none" w:sz="0" w:space="0" w:color="auto"/>
            <w:bottom w:val="none" w:sz="0" w:space="0" w:color="auto"/>
            <w:right w:val="none" w:sz="0" w:space="0" w:color="auto"/>
          </w:divBdr>
        </w:div>
        <w:div w:id="1520317606">
          <w:marLeft w:val="0"/>
          <w:marRight w:val="0"/>
          <w:marTop w:val="0"/>
          <w:marBottom w:val="0"/>
          <w:divBdr>
            <w:top w:val="none" w:sz="0" w:space="0" w:color="auto"/>
            <w:left w:val="none" w:sz="0" w:space="0" w:color="auto"/>
            <w:bottom w:val="none" w:sz="0" w:space="0" w:color="auto"/>
            <w:right w:val="none" w:sz="0" w:space="0" w:color="auto"/>
          </w:divBdr>
        </w:div>
        <w:div w:id="1544901432">
          <w:marLeft w:val="0"/>
          <w:marRight w:val="0"/>
          <w:marTop w:val="0"/>
          <w:marBottom w:val="0"/>
          <w:divBdr>
            <w:top w:val="none" w:sz="0" w:space="0" w:color="auto"/>
            <w:left w:val="none" w:sz="0" w:space="0" w:color="auto"/>
            <w:bottom w:val="none" w:sz="0" w:space="0" w:color="auto"/>
            <w:right w:val="none" w:sz="0" w:space="0" w:color="auto"/>
          </w:divBdr>
        </w:div>
        <w:div w:id="1576665101">
          <w:marLeft w:val="0"/>
          <w:marRight w:val="0"/>
          <w:marTop w:val="0"/>
          <w:marBottom w:val="0"/>
          <w:divBdr>
            <w:top w:val="none" w:sz="0" w:space="0" w:color="auto"/>
            <w:left w:val="none" w:sz="0" w:space="0" w:color="auto"/>
            <w:bottom w:val="none" w:sz="0" w:space="0" w:color="auto"/>
            <w:right w:val="none" w:sz="0" w:space="0" w:color="auto"/>
          </w:divBdr>
        </w:div>
        <w:div w:id="1622107002">
          <w:marLeft w:val="0"/>
          <w:marRight w:val="0"/>
          <w:marTop w:val="0"/>
          <w:marBottom w:val="0"/>
          <w:divBdr>
            <w:top w:val="none" w:sz="0" w:space="0" w:color="auto"/>
            <w:left w:val="none" w:sz="0" w:space="0" w:color="auto"/>
            <w:bottom w:val="none" w:sz="0" w:space="0" w:color="auto"/>
            <w:right w:val="none" w:sz="0" w:space="0" w:color="auto"/>
          </w:divBdr>
        </w:div>
        <w:div w:id="1627734760">
          <w:marLeft w:val="0"/>
          <w:marRight w:val="0"/>
          <w:marTop w:val="0"/>
          <w:marBottom w:val="0"/>
          <w:divBdr>
            <w:top w:val="none" w:sz="0" w:space="0" w:color="auto"/>
            <w:left w:val="none" w:sz="0" w:space="0" w:color="auto"/>
            <w:bottom w:val="none" w:sz="0" w:space="0" w:color="auto"/>
            <w:right w:val="none" w:sz="0" w:space="0" w:color="auto"/>
          </w:divBdr>
        </w:div>
        <w:div w:id="1628201413">
          <w:marLeft w:val="0"/>
          <w:marRight w:val="0"/>
          <w:marTop w:val="0"/>
          <w:marBottom w:val="0"/>
          <w:divBdr>
            <w:top w:val="none" w:sz="0" w:space="0" w:color="auto"/>
            <w:left w:val="none" w:sz="0" w:space="0" w:color="auto"/>
            <w:bottom w:val="none" w:sz="0" w:space="0" w:color="auto"/>
            <w:right w:val="none" w:sz="0" w:space="0" w:color="auto"/>
          </w:divBdr>
        </w:div>
        <w:div w:id="1634142436">
          <w:marLeft w:val="0"/>
          <w:marRight w:val="0"/>
          <w:marTop w:val="0"/>
          <w:marBottom w:val="0"/>
          <w:divBdr>
            <w:top w:val="none" w:sz="0" w:space="0" w:color="auto"/>
            <w:left w:val="none" w:sz="0" w:space="0" w:color="auto"/>
            <w:bottom w:val="none" w:sz="0" w:space="0" w:color="auto"/>
            <w:right w:val="none" w:sz="0" w:space="0" w:color="auto"/>
          </w:divBdr>
        </w:div>
        <w:div w:id="1651861299">
          <w:marLeft w:val="0"/>
          <w:marRight w:val="0"/>
          <w:marTop w:val="0"/>
          <w:marBottom w:val="0"/>
          <w:divBdr>
            <w:top w:val="none" w:sz="0" w:space="0" w:color="auto"/>
            <w:left w:val="none" w:sz="0" w:space="0" w:color="auto"/>
            <w:bottom w:val="none" w:sz="0" w:space="0" w:color="auto"/>
            <w:right w:val="none" w:sz="0" w:space="0" w:color="auto"/>
          </w:divBdr>
        </w:div>
        <w:div w:id="1678994631">
          <w:marLeft w:val="0"/>
          <w:marRight w:val="0"/>
          <w:marTop w:val="0"/>
          <w:marBottom w:val="0"/>
          <w:divBdr>
            <w:top w:val="none" w:sz="0" w:space="0" w:color="auto"/>
            <w:left w:val="none" w:sz="0" w:space="0" w:color="auto"/>
            <w:bottom w:val="none" w:sz="0" w:space="0" w:color="auto"/>
            <w:right w:val="none" w:sz="0" w:space="0" w:color="auto"/>
          </w:divBdr>
        </w:div>
        <w:div w:id="1699970518">
          <w:marLeft w:val="0"/>
          <w:marRight w:val="0"/>
          <w:marTop w:val="0"/>
          <w:marBottom w:val="0"/>
          <w:divBdr>
            <w:top w:val="none" w:sz="0" w:space="0" w:color="auto"/>
            <w:left w:val="none" w:sz="0" w:space="0" w:color="auto"/>
            <w:bottom w:val="none" w:sz="0" w:space="0" w:color="auto"/>
            <w:right w:val="none" w:sz="0" w:space="0" w:color="auto"/>
          </w:divBdr>
        </w:div>
        <w:div w:id="1708528851">
          <w:marLeft w:val="0"/>
          <w:marRight w:val="0"/>
          <w:marTop w:val="0"/>
          <w:marBottom w:val="0"/>
          <w:divBdr>
            <w:top w:val="none" w:sz="0" w:space="0" w:color="auto"/>
            <w:left w:val="none" w:sz="0" w:space="0" w:color="auto"/>
            <w:bottom w:val="none" w:sz="0" w:space="0" w:color="auto"/>
            <w:right w:val="none" w:sz="0" w:space="0" w:color="auto"/>
          </w:divBdr>
        </w:div>
        <w:div w:id="1752503823">
          <w:marLeft w:val="0"/>
          <w:marRight w:val="0"/>
          <w:marTop w:val="0"/>
          <w:marBottom w:val="0"/>
          <w:divBdr>
            <w:top w:val="none" w:sz="0" w:space="0" w:color="auto"/>
            <w:left w:val="none" w:sz="0" w:space="0" w:color="auto"/>
            <w:bottom w:val="none" w:sz="0" w:space="0" w:color="auto"/>
            <w:right w:val="none" w:sz="0" w:space="0" w:color="auto"/>
          </w:divBdr>
        </w:div>
        <w:div w:id="1770809121">
          <w:marLeft w:val="0"/>
          <w:marRight w:val="0"/>
          <w:marTop w:val="0"/>
          <w:marBottom w:val="0"/>
          <w:divBdr>
            <w:top w:val="none" w:sz="0" w:space="0" w:color="auto"/>
            <w:left w:val="none" w:sz="0" w:space="0" w:color="auto"/>
            <w:bottom w:val="none" w:sz="0" w:space="0" w:color="auto"/>
            <w:right w:val="none" w:sz="0" w:space="0" w:color="auto"/>
          </w:divBdr>
        </w:div>
        <w:div w:id="1785423642">
          <w:marLeft w:val="0"/>
          <w:marRight w:val="0"/>
          <w:marTop w:val="0"/>
          <w:marBottom w:val="0"/>
          <w:divBdr>
            <w:top w:val="none" w:sz="0" w:space="0" w:color="auto"/>
            <w:left w:val="none" w:sz="0" w:space="0" w:color="auto"/>
            <w:bottom w:val="none" w:sz="0" w:space="0" w:color="auto"/>
            <w:right w:val="none" w:sz="0" w:space="0" w:color="auto"/>
          </w:divBdr>
        </w:div>
        <w:div w:id="1790928719">
          <w:marLeft w:val="0"/>
          <w:marRight w:val="0"/>
          <w:marTop w:val="0"/>
          <w:marBottom w:val="0"/>
          <w:divBdr>
            <w:top w:val="none" w:sz="0" w:space="0" w:color="auto"/>
            <w:left w:val="none" w:sz="0" w:space="0" w:color="auto"/>
            <w:bottom w:val="none" w:sz="0" w:space="0" w:color="auto"/>
            <w:right w:val="none" w:sz="0" w:space="0" w:color="auto"/>
          </w:divBdr>
        </w:div>
        <w:div w:id="1791583948">
          <w:marLeft w:val="0"/>
          <w:marRight w:val="0"/>
          <w:marTop w:val="0"/>
          <w:marBottom w:val="0"/>
          <w:divBdr>
            <w:top w:val="none" w:sz="0" w:space="0" w:color="auto"/>
            <w:left w:val="none" w:sz="0" w:space="0" w:color="auto"/>
            <w:bottom w:val="none" w:sz="0" w:space="0" w:color="auto"/>
            <w:right w:val="none" w:sz="0" w:space="0" w:color="auto"/>
          </w:divBdr>
        </w:div>
        <w:div w:id="1792048616">
          <w:marLeft w:val="0"/>
          <w:marRight w:val="0"/>
          <w:marTop w:val="0"/>
          <w:marBottom w:val="0"/>
          <w:divBdr>
            <w:top w:val="none" w:sz="0" w:space="0" w:color="auto"/>
            <w:left w:val="none" w:sz="0" w:space="0" w:color="auto"/>
            <w:bottom w:val="none" w:sz="0" w:space="0" w:color="auto"/>
            <w:right w:val="none" w:sz="0" w:space="0" w:color="auto"/>
          </w:divBdr>
        </w:div>
        <w:div w:id="1810173406">
          <w:marLeft w:val="0"/>
          <w:marRight w:val="0"/>
          <w:marTop w:val="0"/>
          <w:marBottom w:val="0"/>
          <w:divBdr>
            <w:top w:val="none" w:sz="0" w:space="0" w:color="auto"/>
            <w:left w:val="none" w:sz="0" w:space="0" w:color="auto"/>
            <w:bottom w:val="none" w:sz="0" w:space="0" w:color="auto"/>
            <w:right w:val="none" w:sz="0" w:space="0" w:color="auto"/>
          </w:divBdr>
        </w:div>
        <w:div w:id="1815221682">
          <w:marLeft w:val="0"/>
          <w:marRight w:val="0"/>
          <w:marTop w:val="0"/>
          <w:marBottom w:val="0"/>
          <w:divBdr>
            <w:top w:val="none" w:sz="0" w:space="0" w:color="auto"/>
            <w:left w:val="none" w:sz="0" w:space="0" w:color="auto"/>
            <w:bottom w:val="none" w:sz="0" w:space="0" w:color="auto"/>
            <w:right w:val="none" w:sz="0" w:space="0" w:color="auto"/>
          </w:divBdr>
        </w:div>
        <w:div w:id="1848016149">
          <w:marLeft w:val="0"/>
          <w:marRight w:val="0"/>
          <w:marTop w:val="0"/>
          <w:marBottom w:val="0"/>
          <w:divBdr>
            <w:top w:val="none" w:sz="0" w:space="0" w:color="auto"/>
            <w:left w:val="none" w:sz="0" w:space="0" w:color="auto"/>
            <w:bottom w:val="none" w:sz="0" w:space="0" w:color="auto"/>
            <w:right w:val="none" w:sz="0" w:space="0" w:color="auto"/>
          </w:divBdr>
        </w:div>
        <w:div w:id="1864397367">
          <w:marLeft w:val="0"/>
          <w:marRight w:val="0"/>
          <w:marTop w:val="0"/>
          <w:marBottom w:val="0"/>
          <w:divBdr>
            <w:top w:val="none" w:sz="0" w:space="0" w:color="auto"/>
            <w:left w:val="none" w:sz="0" w:space="0" w:color="auto"/>
            <w:bottom w:val="none" w:sz="0" w:space="0" w:color="auto"/>
            <w:right w:val="none" w:sz="0" w:space="0" w:color="auto"/>
          </w:divBdr>
        </w:div>
        <w:div w:id="1865747731">
          <w:marLeft w:val="0"/>
          <w:marRight w:val="0"/>
          <w:marTop w:val="0"/>
          <w:marBottom w:val="0"/>
          <w:divBdr>
            <w:top w:val="none" w:sz="0" w:space="0" w:color="auto"/>
            <w:left w:val="none" w:sz="0" w:space="0" w:color="auto"/>
            <w:bottom w:val="none" w:sz="0" w:space="0" w:color="auto"/>
            <w:right w:val="none" w:sz="0" w:space="0" w:color="auto"/>
          </w:divBdr>
        </w:div>
        <w:div w:id="1880626317">
          <w:marLeft w:val="0"/>
          <w:marRight w:val="0"/>
          <w:marTop w:val="0"/>
          <w:marBottom w:val="0"/>
          <w:divBdr>
            <w:top w:val="none" w:sz="0" w:space="0" w:color="auto"/>
            <w:left w:val="none" w:sz="0" w:space="0" w:color="auto"/>
            <w:bottom w:val="none" w:sz="0" w:space="0" w:color="auto"/>
            <w:right w:val="none" w:sz="0" w:space="0" w:color="auto"/>
          </w:divBdr>
        </w:div>
        <w:div w:id="1970044860">
          <w:marLeft w:val="0"/>
          <w:marRight w:val="0"/>
          <w:marTop w:val="0"/>
          <w:marBottom w:val="0"/>
          <w:divBdr>
            <w:top w:val="none" w:sz="0" w:space="0" w:color="auto"/>
            <w:left w:val="none" w:sz="0" w:space="0" w:color="auto"/>
            <w:bottom w:val="none" w:sz="0" w:space="0" w:color="auto"/>
            <w:right w:val="none" w:sz="0" w:space="0" w:color="auto"/>
          </w:divBdr>
        </w:div>
        <w:div w:id="1995913300">
          <w:marLeft w:val="0"/>
          <w:marRight w:val="0"/>
          <w:marTop w:val="0"/>
          <w:marBottom w:val="0"/>
          <w:divBdr>
            <w:top w:val="none" w:sz="0" w:space="0" w:color="auto"/>
            <w:left w:val="none" w:sz="0" w:space="0" w:color="auto"/>
            <w:bottom w:val="none" w:sz="0" w:space="0" w:color="auto"/>
            <w:right w:val="none" w:sz="0" w:space="0" w:color="auto"/>
          </w:divBdr>
        </w:div>
        <w:div w:id="1996955941">
          <w:marLeft w:val="0"/>
          <w:marRight w:val="0"/>
          <w:marTop w:val="0"/>
          <w:marBottom w:val="0"/>
          <w:divBdr>
            <w:top w:val="none" w:sz="0" w:space="0" w:color="auto"/>
            <w:left w:val="none" w:sz="0" w:space="0" w:color="auto"/>
            <w:bottom w:val="none" w:sz="0" w:space="0" w:color="auto"/>
            <w:right w:val="none" w:sz="0" w:space="0" w:color="auto"/>
          </w:divBdr>
        </w:div>
        <w:div w:id="2101675425">
          <w:marLeft w:val="0"/>
          <w:marRight w:val="0"/>
          <w:marTop w:val="0"/>
          <w:marBottom w:val="0"/>
          <w:divBdr>
            <w:top w:val="none" w:sz="0" w:space="0" w:color="auto"/>
            <w:left w:val="none" w:sz="0" w:space="0" w:color="auto"/>
            <w:bottom w:val="none" w:sz="0" w:space="0" w:color="auto"/>
            <w:right w:val="none" w:sz="0" w:space="0" w:color="auto"/>
          </w:divBdr>
        </w:div>
        <w:div w:id="2107649283">
          <w:marLeft w:val="0"/>
          <w:marRight w:val="0"/>
          <w:marTop w:val="0"/>
          <w:marBottom w:val="0"/>
          <w:divBdr>
            <w:top w:val="none" w:sz="0" w:space="0" w:color="auto"/>
            <w:left w:val="none" w:sz="0" w:space="0" w:color="auto"/>
            <w:bottom w:val="none" w:sz="0" w:space="0" w:color="auto"/>
            <w:right w:val="none" w:sz="0" w:space="0" w:color="auto"/>
          </w:divBdr>
        </w:div>
        <w:div w:id="2113546227">
          <w:marLeft w:val="0"/>
          <w:marRight w:val="0"/>
          <w:marTop w:val="0"/>
          <w:marBottom w:val="0"/>
          <w:divBdr>
            <w:top w:val="none" w:sz="0" w:space="0" w:color="auto"/>
            <w:left w:val="none" w:sz="0" w:space="0" w:color="auto"/>
            <w:bottom w:val="none" w:sz="0" w:space="0" w:color="auto"/>
            <w:right w:val="none" w:sz="0" w:space="0" w:color="auto"/>
          </w:divBdr>
        </w:div>
        <w:div w:id="2127388575">
          <w:marLeft w:val="0"/>
          <w:marRight w:val="0"/>
          <w:marTop w:val="0"/>
          <w:marBottom w:val="0"/>
          <w:divBdr>
            <w:top w:val="none" w:sz="0" w:space="0" w:color="auto"/>
            <w:left w:val="none" w:sz="0" w:space="0" w:color="auto"/>
            <w:bottom w:val="none" w:sz="0" w:space="0" w:color="auto"/>
            <w:right w:val="none" w:sz="0" w:space="0" w:color="auto"/>
          </w:divBdr>
        </w:div>
        <w:div w:id="2135906456">
          <w:marLeft w:val="0"/>
          <w:marRight w:val="0"/>
          <w:marTop w:val="0"/>
          <w:marBottom w:val="0"/>
          <w:divBdr>
            <w:top w:val="none" w:sz="0" w:space="0" w:color="auto"/>
            <w:left w:val="none" w:sz="0" w:space="0" w:color="auto"/>
            <w:bottom w:val="none" w:sz="0" w:space="0" w:color="auto"/>
            <w:right w:val="none" w:sz="0" w:space="0" w:color="auto"/>
          </w:divBdr>
        </w:div>
      </w:divsChild>
    </w:div>
    <w:div w:id="1227838933">
      <w:bodyDiv w:val="1"/>
      <w:marLeft w:val="120"/>
      <w:marRight w:val="120"/>
      <w:marTop w:val="0"/>
      <w:marBottom w:val="0"/>
      <w:divBdr>
        <w:top w:val="none" w:sz="0" w:space="0" w:color="auto"/>
        <w:left w:val="none" w:sz="0" w:space="0" w:color="auto"/>
        <w:bottom w:val="none" w:sz="0" w:space="0" w:color="auto"/>
        <w:right w:val="none" w:sz="0" w:space="0" w:color="auto"/>
      </w:divBdr>
      <w:divsChild>
        <w:div w:id="1699162680">
          <w:marLeft w:val="0"/>
          <w:marRight w:val="0"/>
          <w:marTop w:val="0"/>
          <w:marBottom w:val="0"/>
          <w:divBdr>
            <w:top w:val="none" w:sz="0" w:space="0" w:color="auto"/>
            <w:left w:val="none" w:sz="0" w:space="0" w:color="auto"/>
            <w:bottom w:val="none" w:sz="0" w:space="0" w:color="auto"/>
            <w:right w:val="none" w:sz="0" w:space="0" w:color="auto"/>
          </w:divBdr>
          <w:divsChild>
            <w:div w:id="182522805">
              <w:marLeft w:val="0"/>
              <w:marRight w:val="0"/>
              <w:marTop w:val="0"/>
              <w:marBottom w:val="0"/>
              <w:divBdr>
                <w:top w:val="none" w:sz="0" w:space="0" w:color="auto"/>
                <w:left w:val="none" w:sz="0" w:space="0" w:color="auto"/>
                <w:bottom w:val="none" w:sz="0" w:space="0" w:color="auto"/>
                <w:right w:val="none" w:sz="0" w:space="0" w:color="auto"/>
              </w:divBdr>
            </w:div>
            <w:div w:id="1457215942">
              <w:marLeft w:val="0"/>
              <w:marRight w:val="0"/>
              <w:marTop w:val="0"/>
              <w:marBottom w:val="0"/>
              <w:divBdr>
                <w:top w:val="none" w:sz="0" w:space="0" w:color="auto"/>
                <w:left w:val="none" w:sz="0" w:space="0" w:color="auto"/>
                <w:bottom w:val="none" w:sz="0" w:space="0" w:color="auto"/>
                <w:right w:val="none" w:sz="0" w:space="0" w:color="auto"/>
              </w:divBdr>
            </w:div>
            <w:div w:id="1967083031">
              <w:marLeft w:val="0"/>
              <w:marRight w:val="0"/>
              <w:marTop w:val="0"/>
              <w:marBottom w:val="0"/>
              <w:divBdr>
                <w:top w:val="none" w:sz="0" w:space="0" w:color="auto"/>
                <w:left w:val="none" w:sz="0" w:space="0" w:color="auto"/>
                <w:bottom w:val="none" w:sz="0" w:space="0" w:color="auto"/>
                <w:right w:val="none" w:sz="0" w:space="0" w:color="auto"/>
              </w:divBdr>
            </w:div>
            <w:div w:id="21460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8937">
      <w:bodyDiv w:val="1"/>
      <w:marLeft w:val="0"/>
      <w:marRight w:val="0"/>
      <w:marTop w:val="0"/>
      <w:marBottom w:val="0"/>
      <w:divBdr>
        <w:top w:val="none" w:sz="0" w:space="0" w:color="auto"/>
        <w:left w:val="none" w:sz="0" w:space="0" w:color="auto"/>
        <w:bottom w:val="none" w:sz="0" w:space="0" w:color="auto"/>
        <w:right w:val="none" w:sz="0" w:space="0" w:color="auto"/>
      </w:divBdr>
    </w:div>
    <w:div w:id="1485783314">
      <w:bodyDiv w:val="1"/>
      <w:marLeft w:val="0"/>
      <w:marRight w:val="0"/>
      <w:marTop w:val="0"/>
      <w:marBottom w:val="0"/>
      <w:divBdr>
        <w:top w:val="none" w:sz="0" w:space="0" w:color="auto"/>
        <w:left w:val="none" w:sz="0" w:space="0" w:color="auto"/>
        <w:bottom w:val="none" w:sz="0" w:space="0" w:color="auto"/>
        <w:right w:val="none" w:sz="0" w:space="0" w:color="auto"/>
      </w:divBdr>
    </w:div>
    <w:div w:id="1532693522">
      <w:bodyDiv w:val="1"/>
      <w:marLeft w:val="0"/>
      <w:marRight w:val="0"/>
      <w:marTop w:val="0"/>
      <w:marBottom w:val="0"/>
      <w:divBdr>
        <w:top w:val="none" w:sz="0" w:space="0" w:color="auto"/>
        <w:left w:val="none" w:sz="0" w:space="0" w:color="auto"/>
        <w:bottom w:val="none" w:sz="0" w:space="0" w:color="auto"/>
        <w:right w:val="none" w:sz="0" w:space="0" w:color="auto"/>
      </w:divBdr>
    </w:div>
    <w:div w:id="1546064234">
      <w:bodyDiv w:val="1"/>
      <w:marLeft w:val="0"/>
      <w:marRight w:val="0"/>
      <w:marTop w:val="0"/>
      <w:marBottom w:val="0"/>
      <w:divBdr>
        <w:top w:val="none" w:sz="0" w:space="0" w:color="auto"/>
        <w:left w:val="none" w:sz="0" w:space="0" w:color="auto"/>
        <w:bottom w:val="none" w:sz="0" w:space="0" w:color="auto"/>
        <w:right w:val="none" w:sz="0" w:space="0" w:color="auto"/>
      </w:divBdr>
    </w:div>
    <w:div w:id="1593975159">
      <w:bodyDiv w:val="1"/>
      <w:marLeft w:val="0"/>
      <w:marRight w:val="0"/>
      <w:marTop w:val="0"/>
      <w:marBottom w:val="0"/>
      <w:divBdr>
        <w:top w:val="none" w:sz="0" w:space="0" w:color="auto"/>
        <w:left w:val="none" w:sz="0" w:space="0" w:color="auto"/>
        <w:bottom w:val="none" w:sz="0" w:space="0" w:color="auto"/>
        <w:right w:val="none" w:sz="0" w:space="0" w:color="auto"/>
      </w:divBdr>
    </w:div>
    <w:div w:id="1714500551">
      <w:bodyDiv w:val="1"/>
      <w:marLeft w:val="0"/>
      <w:marRight w:val="0"/>
      <w:marTop w:val="0"/>
      <w:marBottom w:val="0"/>
      <w:divBdr>
        <w:top w:val="none" w:sz="0" w:space="0" w:color="auto"/>
        <w:left w:val="none" w:sz="0" w:space="0" w:color="auto"/>
        <w:bottom w:val="none" w:sz="0" w:space="0" w:color="auto"/>
        <w:right w:val="none" w:sz="0" w:space="0" w:color="auto"/>
      </w:divBdr>
    </w:div>
    <w:div w:id="1806698337">
      <w:bodyDiv w:val="1"/>
      <w:marLeft w:val="0"/>
      <w:marRight w:val="0"/>
      <w:marTop w:val="0"/>
      <w:marBottom w:val="0"/>
      <w:divBdr>
        <w:top w:val="none" w:sz="0" w:space="0" w:color="auto"/>
        <w:left w:val="none" w:sz="0" w:space="0" w:color="auto"/>
        <w:bottom w:val="none" w:sz="0" w:space="0" w:color="auto"/>
        <w:right w:val="none" w:sz="0" w:space="0" w:color="auto"/>
      </w:divBdr>
    </w:div>
    <w:div w:id="1877694057">
      <w:bodyDiv w:val="1"/>
      <w:marLeft w:val="0"/>
      <w:marRight w:val="0"/>
      <w:marTop w:val="0"/>
      <w:marBottom w:val="0"/>
      <w:divBdr>
        <w:top w:val="none" w:sz="0" w:space="0" w:color="auto"/>
        <w:left w:val="none" w:sz="0" w:space="0" w:color="auto"/>
        <w:bottom w:val="none" w:sz="0" w:space="0" w:color="auto"/>
        <w:right w:val="none" w:sz="0" w:space="0" w:color="auto"/>
      </w:divBdr>
    </w:div>
    <w:div w:id="1897933052">
      <w:bodyDiv w:val="1"/>
      <w:marLeft w:val="0"/>
      <w:marRight w:val="0"/>
      <w:marTop w:val="0"/>
      <w:marBottom w:val="0"/>
      <w:divBdr>
        <w:top w:val="none" w:sz="0" w:space="0" w:color="auto"/>
        <w:left w:val="none" w:sz="0" w:space="0" w:color="auto"/>
        <w:bottom w:val="none" w:sz="0" w:space="0" w:color="auto"/>
        <w:right w:val="none" w:sz="0" w:space="0" w:color="auto"/>
      </w:divBdr>
    </w:div>
    <w:div w:id="1947500136">
      <w:bodyDiv w:val="1"/>
      <w:marLeft w:val="0"/>
      <w:marRight w:val="0"/>
      <w:marTop w:val="0"/>
      <w:marBottom w:val="0"/>
      <w:divBdr>
        <w:top w:val="none" w:sz="0" w:space="0" w:color="auto"/>
        <w:left w:val="none" w:sz="0" w:space="0" w:color="auto"/>
        <w:bottom w:val="none" w:sz="0" w:space="0" w:color="auto"/>
        <w:right w:val="none" w:sz="0" w:space="0" w:color="auto"/>
      </w:divBdr>
    </w:div>
    <w:div w:id="2028368814">
      <w:bodyDiv w:val="1"/>
      <w:marLeft w:val="0"/>
      <w:marRight w:val="0"/>
      <w:marTop w:val="0"/>
      <w:marBottom w:val="0"/>
      <w:divBdr>
        <w:top w:val="none" w:sz="0" w:space="0" w:color="auto"/>
        <w:left w:val="none" w:sz="0" w:space="0" w:color="auto"/>
        <w:bottom w:val="none" w:sz="0" w:space="0" w:color="auto"/>
        <w:right w:val="none" w:sz="0" w:space="0" w:color="auto"/>
      </w:divBdr>
    </w:div>
    <w:div w:id="2061443138">
      <w:bodyDiv w:val="1"/>
      <w:marLeft w:val="0"/>
      <w:marRight w:val="0"/>
      <w:marTop w:val="0"/>
      <w:marBottom w:val="0"/>
      <w:divBdr>
        <w:top w:val="none" w:sz="0" w:space="0" w:color="auto"/>
        <w:left w:val="none" w:sz="0" w:space="0" w:color="auto"/>
        <w:bottom w:val="none" w:sz="0" w:space="0" w:color="auto"/>
        <w:right w:val="none" w:sz="0" w:space="0" w:color="auto"/>
      </w:divBdr>
    </w:div>
    <w:div w:id="2118137301">
      <w:bodyDiv w:val="1"/>
      <w:marLeft w:val="0"/>
      <w:marRight w:val="0"/>
      <w:marTop w:val="0"/>
      <w:marBottom w:val="0"/>
      <w:divBdr>
        <w:top w:val="none" w:sz="0" w:space="0" w:color="auto"/>
        <w:left w:val="none" w:sz="0" w:space="0" w:color="auto"/>
        <w:bottom w:val="none" w:sz="0" w:space="0" w:color="auto"/>
        <w:right w:val="none" w:sz="0" w:space="0" w:color="auto"/>
      </w:divBdr>
    </w:div>
    <w:div w:id="2136756944">
      <w:bodyDiv w:val="1"/>
      <w:marLeft w:val="0"/>
      <w:marRight w:val="0"/>
      <w:marTop w:val="0"/>
      <w:marBottom w:val="0"/>
      <w:divBdr>
        <w:top w:val="none" w:sz="0" w:space="0" w:color="auto"/>
        <w:left w:val="none" w:sz="0" w:space="0" w:color="auto"/>
        <w:bottom w:val="none" w:sz="0" w:space="0" w:color="auto"/>
        <w:right w:val="none" w:sz="0" w:space="0" w:color="auto"/>
      </w:divBdr>
    </w:div>
    <w:div w:id="21394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sen.6@osu.edu"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mailto:Olsen.6@osu.ed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hrr.local\DFS\Users\rolsen\Wage%20Pathways\wage%20growth\Earnings%20Metrics%20from%20UI%20Wage%20data%2012%20Feb%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hrr.local\DFS\Users\rolsen\Wage%20Pathways(shr)\wage%20growth\Earnings%20Metrics%20from%20UI%20Wage%20data%2020%20Mar%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hrr.local\DFS\Users\rolsen\Wage%20Pathways\wage%20growth\Earnings%20Metrics%20from%20UI%20Wage%20data%2012%20Feb%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hrr.local\DFS\Users\rolsen\Wage%20Pathways\wage%20growth\Earnings%20Metrics%20from%20UI%20Wage%20data%2012%20Feb%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hrr.local\DFS\Users\rolsen\Wage%20Pathways(shr)\wage%20growth\Earnings%20Metrics%20from%20UI%20Wage%20data%2030%20Apr%20201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Jobs per employed person</c:v>
          </c:tx>
          <c:spPr>
            <a:ln w="28575" cap="rnd">
              <a:solidFill>
                <a:schemeClr val="accent1"/>
              </a:solidFill>
              <a:round/>
            </a:ln>
            <a:effectLst/>
          </c:spPr>
          <c:marker>
            <c:symbol val="none"/>
          </c:marker>
          <c:cat>
            <c:numRef>
              <c:f>'UI Earnings metrics'!$A$5:$A$62</c:f>
              <c:numCache>
                <c:formatCode>0.000</c:formatCode>
                <c:ptCount val="58"/>
                <c:pt idx="0">
                  <c:v>2004.125</c:v>
                </c:pt>
                <c:pt idx="1">
                  <c:v>2004.375</c:v>
                </c:pt>
                <c:pt idx="2">
                  <c:v>2004.625</c:v>
                </c:pt>
                <c:pt idx="3">
                  <c:v>2004.875</c:v>
                </c:pt>
                <c:pt idx="4">
                  <c:v>2005.125</c:v>
                </c:pt>
                <c:pt idx="5">
                  <c:v>2005.375</c:v>
                </c:pt>
                <c:pt idx="6">
                  <c:v>2005.625</c:v>
                </c:pt>
                <c:pt idx="7">
                  <c:v>2005.875</c:v>
                </c:pt>
                <c:pt idx="8">
                  <c:v>2006.125</c:v>
                </c:pt>
                <c:pt idx="9">
                  <c:v>2006.375</c:v>
                </c:pt>
                <c:pt idx="10">
                  <c:v>2006.625</c:v>
                </c:pt>
                <c:pt idx="11">
                  <c:v>2006.875</c:v>
                </c:pt>
                <c:pt idx="12">
                  <c:v>2007.125</c:v>
                </c:pt>
                <c:pt idx="13">
                  <c:v>2007.375</c:v>
                </c:pt>
                <c:pt idx="14">
                  <c:v>2007.625</c:v>
                </c:pt>
                <c:pt idx="15">
                  <c:v>2007.875</c:v>
                </c:pt>
                <c:pt idx="16">
                  <c:v>2008.125</c:v>
                </c:pt>
                <c:pt idx="17">
                  <c:v>2008.375</c:v>
                </c:pt>
                <c:pt idx="18">
                  <c:v>2008.625</c:v>
                </c:pt>
                <c:pt idx="19">
                  <c:v>2008.875</c:v>
                </c:pt>
                <c:pt idx="20">
                  <c:v>2009.125</c:v>
                </c:pt>
                <c:pt idx="21">
                  <c:v>2009.375</c:v>
                </c:pt>
                <c:pt idx="22">
                  <c:v>2009.625</c:v>
                </c:pt>
                <c:pt idx="23">
                  <c:v>2009.875</c:v>
                </c:pt>
                <c:pt idx="24">
                  <c:v>2010.125</c:v>
                </c:pt>
                <c:pt idx="25">
                  <c:v>2010.375</c:v>
                </c:pt>
                <c:pt idx="26">
                  <c:v>2010.625</c:v>
                </c:pt>
                <c:pt idx="27">
                  <c:v>2010.875</c:v>
                </c:pt>
                <c:pt idx="28">
                  <c:v>2011.125</c:v>
                </c:pt>
                <c:pt idx="29">
                  <c:v>2011.375</c:v>
                </c:pt>
                <c:pt idx="30">
                  <c:v>2011.625</c:v>
                </c:pt>
                <c:pt idx="31">
                  <c:v>2011.875</c:v>
                </c:pt>
                <c:pt idx="32">
                  <c:v>2012.125</c:v>
                </c:pt>
                <c:pt idx="33">
                  <c:v>2012.375</c:v>
                </c:pt>
                <c:pt idx="34">
                  <c:v>2012.625</c:v>
                </c:pt>
                <c:pt idx="35">
                  <c:v>2012.875</c:v>
                </c:pt>
                <c:pt idx="36">
                  <c:v>2013.125</c:v>
                </c:pt>
                <c:pt idx="37">
                  <c:v>2013.375</c:v>
                </c:pt>
                <c:pt idx="38">
                  <c:v>2013.625</c:v>
                </c:pt>
                <c:pt idx="39">
                  <c:v>2013.875</c:v>
                </c:pt>
                <c:pt idx="40">
                  <c:v>2014.125</c:v>
                </c:pt>
                <c:pt idx="41">
                  <c:v>2014.375</c:v>
                </c:pt>
                <c:pt idx="42">
                  <c:v>2014.625</c:v>
                </c:pt>
                <c:pt idx="43">
                  <c:v>2014.875</c:v>
                </c:pt>
                <c:pt idx="44">
                  <c:v>2015.125</c:v>
                </c:pt>
                <c:pt idx="45">
                  <c:v>2015.375</c:v>
                </c:pt>
                <c:pt idx="46">
                  <c:v>2015.625</c:v>
                </c:pt>
                <c:pt idx="47">
                  <c:v>2015.875</c:v>
                </c:pt>
                <c:pt idx="48">
                  <c:v>2016.125</c:v>
                </c:pt>
                <c:pt idx="49">
                  <c:v>2016.375</c:v>
                </c:pt>
                <c:pt idx="50">
                  <c:v>2016.625</c:v>
                </c:pt>
                <c:pt idx="51">
                  <c:v>2016.875</c:v>
                </c:pt>
                <c:pt idx="52">
                  <c:v>2017.125</c:v>
                </c:pt>
                <c:pt idx="53">
                  <c:v>2017.375</c:v>
                </c:pt>
                <c:pt idx="54">
                  <c:v>2017.625</c:v>
                </c:pt>
                <c:pt idx="55">
                  <c:v>2017.875</c:v>
                </c:pt>
                <c:pt idx="56">
                  <c:v>2018.125</c:v>
                </c:pt>
                <c:pt idx="57">
                  <c:v>2018.375</c:v>
                </c:pt>
              </c:numCache>
            </c:numRef>
          </c:cat>
          <c:val>
            <c:numRef>
              <c:f>'UI Earnings metrics'!$AE$5:$AE$62</c:f>
              <c:numCache>
                <c:formatCode>0.0000</c:formatCode>
                <c:ptCount val="58"/>
                <c:pt idx="0">
                  <c:v>1.1186261869941116</c:v>
                </c:pt>
                <c:pt idx="1">
                  <c:v>1.1365669459916563</c:v>
                </c:pt>
                <c:pt idx="2">
                  <c:v>1.1405868768482841</c:v>
                </c:pt>
                <c:pt idx="3">
                  <c:v>1.1392776562907645</c:v>
                </c:pt>
                <c:pt idx="4">
                  <c:v>1.1209281524715375</c:v>
                </c:pt>
                <c:pt idx="5">
                  <c:v>1.138420240187727</c:v>
                </c:pt>
                <c:pt idx="6">
                  <c:v>1.1462759935367428</c:v>
                </c:pt>
                <c:pt idx="7">
                  <c:v>1.1394292856893196</c:v>
                </c:pt>
                <c:pt idx="8">
                  <c:v>1.1250253787291904</c:v>
                </c:pt>
                <c:pt idx="9">
                  <c:v>1.1414333310848563</c:v>
                </c:pt>
                <c:pt idx="10">
                  <c:v>1.1424671391643104</c:v>
                </c:pt>
                <c:pt idx="11">
                  <c:v>1.1399247144078575</c:v>
                </c:pt>
                <c:pt idx="12">
                  <c:v>1.1241755885703106</c:v>
                </c:pt>
                <c:pt idx="13">
                  <c:v>1.1397804179653468</c:v>
                </c:pt>
                <c:pt idx="14">
                  <c:v>1.1405128395047914</c:v>
                </c:pt>
                <c:pt idx="15">
                  <c:v>1.1377171211451478</c:v>
                </c:pt>
                <c:pt idx="16">
                  <c:v>1.1212235095757077</c:v>
                </c:pt>
                <c:pt idx="17">
                  <c:v>1.129754681004735</c:v>
                </c:pt>
                <c:pt idx="18">
                  <c:v>1.127862471376166</c:v>
                </c:pt>
                <c:pt idx="19">
                  <c:v>1.1215601463757656</c:v>
                </c:pt>
                <c:pt idx="20">
                  <c:v>1.0998492398339945</c:v>
                </c:pt>
                <c:pt idx="21">
                  <c:v>1.1078243092635924</c:v>
                </c:pt>
                <c:pt idx="22">
                  <c:v>1.1083177478663573</c:v>
                </c:pt>
                <c:pt idx="23">
                  <c:v>1.1119321177361756</c:v>
                </c:pt>
                <c:pt idx="24">
                  <c:v>1.097839729708068</c:v>
                </c:pt>
                <c:pt idx="25">
                  <c:v>1.1105743152444241</c:v>
                </c:pt>
                <c:pt idx="26">
                  <c:v>1.1162732463820599</c:v>
                </c:pt>
                <c:pt idx="27">
                  <c:v>1.12373684081737</c:v>
                </c:pt>
                <c:pt idx="28">
                  <c:v>1.1053670812292993</c:v>
                </c:pt>
                <c:pt idx="29">
                  <c:v>1.1199990700129809</c:v>
                </c:pt>
                <c:pt idx="30">
                  <c:v>1.1251861611944607</c:v>
                </c:pt>
                <c:pt idx="31">
                  <c:v>1.1246410811180274</c:v>
                </c:pt>
                <c:pt idx="32">
                  <c:v>1.1143953147403947</c:v>
                </c:pt>
                <c:pt idx="33">
                  <c:v>1.1288602861402859</c:v>
                </c:pt>
                <c:pt idx="34">
                  <c:v>1.1260904284829736</c:v>
                </c:pt>
                <c:pt idx="35">
                  <c:v>1.1280787265829209</c:v>
                </c:pt>
                <c:pt idx="36">
                  <c:v>1.114853981928623</c:v>
                </c:pt>
                <c:pt idx="37">
                  <c:v>1.1299079746413467</c:v>
                </c:pt>
                <c:pt idx="38">
                  <c:v>1.1343625326704447</c:v>
                </c:pt>
                <c:pt idx="39">
                  <c:v>1.1338635970782467</c:v>
                </c:pt>
                <c:pt idx="40">
                  <c:v>1.1184241020901871</c:v>
                </c:pt>
                <c:pt idx="41">
                  <c:v>1.1355713306444215</c:v>
                </c:pt>
                <c:pt idx="42">
                  <c:v>1.141479057862903</c:v>
                </c:pt>
                <c:pt idx="43">
                  <c:v>1.1417980408454866</c:v>
                </c:pt>
                <c:pt idx="44">
                  <c:v>1.1239829218715138</c:v>
                </c:pt>
                <c:pt idx="45">
                  <c:v>1.1419694748400846</c:v>
                </c:pt>
                <c:pt idx="46">
                  <c:v>1.1467837392379985</c:v>
                </c:pt>
                <c:pt idx="47">
                  <c:v>1.1472293591324165</c:v>
                </c:pt>
                <c:pt idx="48">
                  <c:v>1.1259798642005838</c:v>
                </c:pt>
                <c:pt idx="49">
                  <c:v>1.1465649686874628</c:v>
                </c:pt>
                <c:pt idx="50">
                  <c:v>1.1522202247575672</c:v>
                </c:pt>
                <c:pt idx="51">
                  <c:v>1.1465266917765224</c:v>
                </c:pt>
                <c:pt idx="52">
                  <c:v>1.1326541226008393</c:v>
                </c:pt>
                <c:pt idx="53">
                  <c:v>1.151282517116591</c:v>
                </c:pt>
                <c:pt idx="54">
                  <c:v>1.1503421662801161</c:v>
                </c:pt>
                <c:pt idx="55">
                  <c:v>1.1506731739277571</c:v>
                </c:pt>
                <c:pt idx="56">
                  <c:v>1.1356194990165713</c:v>
                </c:pt>
                <c:pt idx="57">
                  <c:v>1.1519219655753978</c:v>
                </c:pt>
              </c:numCache>
            </c:numRef>
          </c:val>
          <c:smooth val="0"/>
          <c:extLst>
            <c:ext xmlns:c16="http://schemas.microsoft.com/office/drawing/2014/chart" uri="{C3380CC4-5D6E-409C-BE32-E72D297353CC}">
              <c16:uniqueId val="{00000000-9DAE-44EF-B4A2-9A2A924284E4}"/>
            </c:ext>
          </c:extLst>
        </c:ser>
        <c:ser>
          <c:idx val="1"/>
          <c:order val="1"/>
          <c:tx>
            <c:v>Jobs per newly employed person, smoothed</c:v>
          </c:tx>
          <c:spPr>
            <a:ln w="28575" cap="rnd">
              <a:solidFill>
                <a:schemeClr val="accent2"/>
              </a:solidFill>
              <a:round/>
            </a:ln>
            <a:effectLst/>
          </c:spPr>
          <c:marker>
            <c:symbol val="none"/>
          </c:marker>
          <c:cat>
            <c:numRef>
              <c:f>'UI Earnings metrics'!$A$5:$A$62</c:f>
              <c:numCache>
                <c:formatCode>0.000</c:formatCode>
                <c:ptCount val="58"/>
                <c:pt idx="0">
                  <c:v>2004.125</c:v>
                </c:pt>
                <c:pt idx="1">
                  <c:v>2004.375</c:v>
                </c:pt>
                <c:pt idx="2">
                  <c:v>2004.625</c:v>
                </c:pt>
                <c:pt idx="3">
                  <c:v>2004.875</c:v>
                </c:pt>
                <c:pt idx="4">
                  <c:v>2005.125</c:v>
                </c:pt>
                <c:pt idx="5">
                  <c:v>2005.375</c:v>
                </c:pt>
                <c:pt idx="6">
                  <c:v>2005.625</c:v>
                </c:pt>
                <c:pt idx="7">
                  <c:v>2005.875</c:v>
                </c:pt>
                <c:pt idx="8">
                  <c:v>2006.125</c:v>
                </c:pt>
                <c:pt idx="9">
                  <c:v>2006.375</c:v>
                </c:pt>
                <c:pt idx="10">
                  <c:v>2006.625</c:v>
                </c:pt>
                <c:pt idx="11">
                  <c:v>2006.875</c:v>
                </c:pt>
                <c:pt idx="12">
                  <c:v>2007.125</c:v>
                </c:pt>
                <c:pt idx="13">
                  <c:v>2007.375</c:v>
                </c:pt>
                <c:pt idx="14">
                  <c:v>2007.625</c:v>
                </c:pt>
                <c:pt idx="15">
                  <c:v>2007.875</c:v>
                </c:pt>
                <c:pt idx="16">
                  <c:v>2008.125</c:v>
                </c:pt>
                <c:pt idx="17">
                  <c:v>2008.375</c:v>
                </c:pt>
                <c:pt idx="18">
                  <c:v>2008.625</c:v>
                </c:pt>
                <c:pt idx="19">
                  <c:v>2008.875</c:v>
                </c:pt>
                <c:pt idx="20">
                  <c:v>2009.125</c:v>
                </c:pt>
                <c:pt idx="21">
                  <c:v>2009.375</c:v>
                </c:pt>
                <c:pt idx="22">
                  <c:v>2009.625</c:v>
                </c:pt>
                <c:pt idx="23">
                  <c:v>2009.875</c:v>
                </c:pt>
                <c:pt idx="24">
                  <c:v>2010.125</c:v>
                </c:pt>
                <c:pt idx="25">
                  <c:v>2010.375</c:v>
                </c:pt>
                <c:pt idx="26">
                  <c:v>2010.625</c:v>
                </c:pt>
                <c:pt idx="27">
                  <c:v>2010.875</c:v>
                </c:pt>
                <c:pt idx="28">
                  <c:v>2011.125</c:v>
                </c:pt>
                <c:pt idx="29">
                  <c:v>2011.375</c:v>
                </c:pt>
                <c:pt idx="30">
                  <c:v>2011.625</c:v>
                </c:pt>
                <c:pt idx="31">
                  <c:v>2011.875</c:v>
                </c:pt>
                <c:pt idx="32">
                  <c:v>2012.125</c:v>
                </c:pt>
                <c:pt idx="33">
                  <c:v>2012.375</c:v>
                </c:pt>
                <c:pt idx="34">
                  <c:v>2012.625</c:v>
                </c:pt>
                <c:pt idx="35">
                  <c:v>2012.875</c:v>
                </c:pt>
                <c:pt idx="36">
                  <c:v>2013.125</c:v>
                </c:pt>
                <c:pt idx="37">
                  <c:v>2013.375</c:v>
                </c:pt>
                <c:pt idx="38">
                  <c:v>2013.625</c:v>
                </c:pt>
                <c:pt idx="39">
                  <c:v>2013.875</c:v>
                </c:pt>
                <c:pt idx="40">
                  <c:v>2014.125</c:v>
                </c:pt>
                <c:pt idx="41">
                  <c:v>2014.375</c:v>
                </c:pt>
                <c:pt idx="42">
                  <c:v>2014.625</c:v>
                </c:pt>
                <c:pt idx="43">
                  <c:v>2014.875</c:v>
                </c:pt>
                <c:pt idx="44">
                  <c:v>2015.125</c:v>
                </c:pt>
                <c:pt idx="45">
                  <c:v>2015.375</c:v>
                </c:pt>
                <c:pt idx="46">
                  <c:v>2015.625</c:v>
                </c:pt>
                <c:pt idx="47">
                  <c:v>2015.875</c:v>
                </c:pt>
                <c:pt idx="48">
                  <c:v>2016.125</c:v>
                </c:pt>
                <c:pt idx="49">
                  <c:v>2016.375</c:v>
                </c:pt>
                <c:pt idx="50">
                  <c:v>2016.625</c:v>
                </c:pt>
                <c:pt idx="51">
                  <c:v>2016.875</c:v>
                </c:pt>
                <c:pt idx="52">
                  <c:v>2017.125</c:v>
                </c:pt>
                <c:pt idx="53">
                  <c:v>2017.375</c:v>
                </c:pt>
                <c:pt idx="54">
                  <c:v>2017.625</c:v>
                </c:pt>
                <c:pt idx="55">
                  <c:v>2017.875</c:v>
                </c:pt>
                <c:pt idx="56">
                  <c:v>2018.125</c:v>
                </c:pt>
                <c:pt idx="57">
                  <c:v>2018.375</c:v>
                </c:pt>
              </c:numCache>
            </c:numRef>
          </c:cat>
          <c:val>
            <c:numRef>
              <c:f>'UI Earnings metrics'!$O$5:$O$62</c:f>
              <c:numCache>
                <c:formatCode>0.0000</c:formatCode>
                <c:ptCount val="58"/>
                <c:pt idx="0">
                  <c:v>1.0931999999999999</c:v>
                </c:pt>
                <c:pt idx="1">
                  <c:v>1.094125</c:v>
                </c:pt>
                <c:pt idx="2">
                  <c:v>1.0967499999999999</c:v>
                </c:pt>
                <c:pt idx="3">
                  <c:v>1.096525</c:v>
                </c:pt>
                <c:pt idx="4">
                  <c:v>1.09755</c:v>
                </c:pt>
                <c:pt idx="5">
                  <c:v>1.0973250000000001</c:v>
                </c:pt>
                <c:pt idx="6">
                  <c:v>1.0985</c:v>
                </c:pt>
                <c:pt idx="7">
                  <c:v>1.0975250000000001</c:v>
                </c:pt>
                <c:pt idx="8">
                  <c:v>1.09775</c:v>
                </c:pt>
                <c:pt idx="9">
                  <c:v>1.0970499999999999</c:v>
                </c:pt>
                <c:pt idx="10">
                  <c:v>1.0943499999999999</c:v>
                </c:pt>
                <c:pt idx="11">
                  <c:v>1.0938499999999998</c:v>
                </c:pt>
                <c:pt idx="12">
                  <c:v>1.094125</c:v>
                </c:pt>
                <c:pt idx="13">
                  <c:v>1.0943000000000001</c:v>
                </c:pt>
                <c:pt idx="14">
                  <c:v>1.09345</c:v>
                </c:pt>
                <c:pt idx="15">
                  <c:v>1.0929499999999999</c:v>
                </c:pt>
                <c:pt idx="16">
                  <c:v>1.0900500000000002</c:v>
                </c:pt>
                <c:pt idx="17">
                  <c:v>1.08735</c:v>
                </c:pt>
                <c:pt idx="18">
                  <c:v>1.0816250000000001</c:v>
                </c:pt>
                <c:pt idx="19">
                  <c:v>1.0776249999999998</c:v>
                </c:pt>
                <c:pt idx="20">
                  <c:v>1.0724</c:v>
                </c:pt>
                <c:pt idx="21">
                  <c:v>1.06765</c:v>
                </c:pt>
                <c:pt idx="22">
                  <c:v>1.066025</c:v>
                </c:pt>
                <c:pt idx="23">
                  <c:v>1.064775</c:v>
                </c:pt>
                <c:pt idx="24">
                  <c:v>1.0647500000000001</c:v>
                </c:pt>
                <c:pt idx="25">
                  <c:v>1.0673999999999999</c:v>
                </c:pt>
                <c:pt idx="26">
                  <c:v>1.0662499999999999</c:v>
                </c:pt>
                <c:pt idx="27">
                  <c:v>1.0680749999999999</c:v>
                </c:pt>
                <c:pt idx="28">
                  <c:v>1.071375</c:v>
                </c:pt>
                <c:pt idx="29">
                  <c:v>1.0714999999999999</c:v>
                </c:pt>
                <c:pt idx="30">
                  <c:v>1.0769</c:v>
                </c:pt>
                <c:pt idx="31">
                  <c:v>1.0755749999999999</c:v>
                </c:pt>
                <c:pt idx="32">
                  <c:v>1.076975</c:v>
                </c:pt>
                <c:pt idx="33">
                  <c:v>1.0782500000000002</c:v>
                </c:pt>
                <c:pt idx="34">
                  <c:v>1.077275</c:v>
                </c:pt>
                <c:pt idx="35">
                  <c:v>1.0794250000000001</c:v>
                </c:pt>
                <c:pt idx="36">
                  <c:v>1.0784</c:v>
                </c:pt>
                <c:pt idx="37">
                  <c:v>1.0785750000000001</c:v>
                </c:pt>
                <c:pt idx="38">
                  <c:v>1.0807</c:v>
                </c:pt>
                <c:pt idx="39">
                  <c:v>1.0810249999999999</c:v>
                </c:pt>
                <c:pt idx="40">
                  <c:v>1.08195</c:v>
                </c:pt>
                <c:pt idx="41">
                  <c:v>1.0834250000000001</c:v>
                </c:pt>
                <c:pt idx="42">
                  <c:v>1.0847500000000001</c:v>
                </c:pt>
                <c:pt idx="43">
                  <c:v>1.0882000000000001</c:v>
                </c:pt>
                <c:pt idx="44">
                  <c:v>1.0878000000000001</c:v>
                </c:pt>
                <c:pt idx="45">
                  <c:v>1.0880749999999999</c:v>
                </c:pt>
                <c:pt idx="46">
                  <c:v>1.0872000000000002</c:v>
                </c:pt>
                <c:pt idx="47">
                  <c:v>1.087075</c:v>
                </c:pt>
                <c:pt idx="48">
                  <c:v>1.0885749999999998</c:v>
                </c:pt>
                <c:pt idx="49">
                  <c:v>1.0897749999999999</c:v>
                </c:pt>
                <c:pt idx="50">
                  <c:v>1.0924</c:v>
                </c:pt>
                <c:pt idx="51">
                  <c:v>1.0922000000000001</c:v>
                </c:pt>
                <c:pt idx="52">
                  <c:v>1.0932249999999999</c:v>
                </c:pt>
                <c:pt idx="53">
                  <c:v>1.0937749999999999</c:v>
                </c:pt>
                <c:pt idx="54">
                  <c:v>1.0916250000000001</c:v>
                </c:pt>
                <c:pt idx="55">
                  <c:v>1.0934249999999999</c:v>
                </c:pt>
                <c:pt idx="56">
                  <c:v>1.0941000000000001</c:v>
                </c:pt>
                <c:pt idx="57">
                  <c:v>1.0952249999999999</c:v>
                </c:pt>
              </c:numCache>
            </c:numRef>
          </c:val>
          <c:smooth val="0"/>
          <c:extLst>
            <c:ext xmlns:c16="http://schemas.microsoft.com/office/drawing/2014/chart" uri="{C3380CC4-5D6E-409C-BE32-E72D297353CC}">
              <c16:uniqueId val="{00000001-9DAE-44EF-B4A2-9A2A924284E4}"/>
            </c:ext>
          </c:extLst>
        </c:ser>
        <c:ser>
          <c:idx val="2"/>
          <c:order val="2"/>
          <c:tx>
            <c:v>Jobs per continuing employed, smoothed</c:v>
          </c:tx>
          <c:spPr>
            <a:ln w="28575" cap="rnd">
              <a:solidFill>
                <a:schemeClr val="accent3"/>
              </a:solidFill>
              <a:round/>
            </a:ln>
            <a:effectLst/>
          </c:spPr>
          <c:marker>
            <c:symbol val="none"/>
          </c:marker>
          <c:val>
            <c:numRef>
              <c:f>'UI Earnings metrics'!$K$5:$K$62</c:f>
              <c:numCache>
                <c:formatCode>0.0000</c:formatCode>
                <c:ptCount val="58"/>
                <c:pt idx="0">
                  <c:v>1.1335999999999999</c:v>
                </c:pt>
                <c:pt idx="1">
                  <c:v>1.1347499999999999</c:v>
                </c:pt>
                <c:pt idx="2">
                  <c:v>1.135775</c:v>
                </c:pt>
                <c:pt idx="3">
                  <c:v>1.136625</c:v>
                </c:pt>
                <c:pt idx="4">
                  <c:v>1.1371500000000001</c:v>
                </c:pt>
                <c:pt idx="5">
                  <c:v>1.137675</c:v>
                </c:pt>
                <c:pt idx="6">
                  <c:v>1.1391249999999999</c:v>
                </c:pt>
                <c:pt idx="7">
                  <c:v>1.1392</c:v>
                </c:pt>
                <c:pt idx="8">
                  <c:v>1.1403000000000001</c:v>
                </c:pt>
                <c:pt idx="9">
                  <c:v>1.1412</c:v>
                </c:pt>
                <c:pt idx="10">
                  <c:v>1.14055</c:v>
                </c:pt>
                <c:pt idx="11">
                  <c:v>1.1407750000000001</c:v>
                </c:pt>
                <c:pt idx="12">
                  <c:v>1.140525</c:v>
                </c:pt>
                <c:pt idx="13">
                  <c:v>1.1401250000000001</c:v>
                </c:pt>
                <c:pt idx="14">
                  <c:v>1.139475</c:v>
                </c:pt>
                <c:pt idx="15">
                  <c:v>1.1389</c:v>
                </c:pt>
                <c:pt idx="16">
                  <c:v>1.1383000000000001</c:v>
                </c:pt>
                <c:pt idx="17">
                  <c:v>1.1356999999999999</c:v>
                </c:pt>
                <c:pt idx="18">
                  <c:v>1.1328250000000002</c:v>
                </c:pt>
                <c:pt idx="19">
                  <c:v>1.1287</c:v>
                </c:pt>
                <c:pt idx="20">
                  <c:v>1.123175</c:v>
                </c:pt>
                <c:pt idx="21">
                  <c:v>1.1175250000000001</c:v>
                </c:pt>
                <c:pt idx="22">
                  <c:v>1.1123499999999999</c:v>
                </c:pt>
                <c:pt idx="23">
                  <c:v>1.10995</c:v>
                </c:pt>
                <c:pt idx="24">
                  <c:v>1.109575</c:v>
                </c:pt>
                <c:pt idx="25">
                  <c:v>1.1102749999999999</c:v>
                </c:pt>
                <c:pt idx="26">
                  <c:v>1.1131</c:v>
                </c:pt>
                <c:pt idx="27">
                  <c:v>1.1162000000000001</c:v>
                </c:pt>
                <c:pt idx="28">
                  <c:v>1.1180000000000001</c:v>
                </c:pt>
                <c:pt idx="29">
                  <c:v>1.120425</c:v>
                </c:pt>
                <c:pt idx="30">
                  <c:v>1.12175</c:v>
                </c:pt>
                <c:pt idx="31">
                  <c:v>1.1220750000000002</c:v>
                </c:pt>
                <c:pt idx="32">
                  <c:v>1.12435</c:v>
                </c:pt>
                <c:pt idx="33">
                  <c:v>1.1266500000000002</c:v>
                </c:pt>
                <c:pt idx="34">
                  <c:v>1.1269</c:v>
                </c:pt>
                <c:pt idx="35">
                  <c:v>1.127575</c:v>
                </c:pt>
                <c:pt idx="36">
                  <c:v>1.1277249999999999</c:v>
                </c:pt>
                <c:pt idx="37">
                  <c:v>1.1279749999999999</c:v>
                </c:pt>
                <c:pt idx="38">
                  <c:v>1.1300250000000001</c:v>
                </c:pt>
                <c:pt idx="39">
                  <c:v>1.131475</c:v>
                </c:pt>
                <c:pt idx="40">
                  <c:v>1.1323249999999998</c:v>
                </c:pt>
                <c:pt idx="41">
                  <c:v>1.13375</c:v>
                </c:pt>
                <c:pt idx="42">
                  <c:v>1.1355500000000001</c:v>
                </c:pt>
                <c:pt idx="43">
                  <c:v>1.1374249999999999</c:v>
                </c:pt>
                <c:pt idx="44">
                  <c:v>1.1389</c:v>
                </c:pt>
                <c:pt idx="45">
                  <c:v>1.1405750000000001</c:v>
                </c:pt>
                <c:pt idx="46">
                  <c:v>1.1420250000000001</c:v>
                </c:pt>
                <c:pt idx="47">
                  <c:v>1.1434500000000001</c:v>
                </c:pt>
                <c:pt idx="48">
                  <c:v>1.143875</c:v>
                </c:pt>
                <c:pt idx="49">
                  <c:v>1.145</c:v>
                </c:pt>
                <c:pt idx="50">
                  <c:v>1.1462999999999999</c:v>
                </c:pt>
                <c:pt idx="51">
                  <c:v>1.1460750000000002</c:v>
                </c:pt>
                <c:pt idx="52">
                  <c:v>1.1478249999999999</c:v>
                </c:pt>
                <c:pt idx="53">
                  <c:v>1.1490749999999998</c:v>
                </c:pt>
                <c:pt idx="54">
                  <c:v>1.1486499999999999</c:v>
                </c:pt>
                <c:pt idx="55">
                  <c:v>1.1496749999999998</c:v>
                </c:pt>
                <c:pt idx="56">
                  <c:v>1.1503999999999999</c:v>
                </c:pt>
                <c:pt idx="57">
                  <c:v>1.15045</c:v>
                </c:pt>
              </c:numCache>
            </c:numRef>
          </c:val>
          <c:smooth val="0"/>
          <c:extLst>
            <c:ext xmlns:c16="http://schemas.microsoft.com/office/drawing/2014/chart" uri="{C3380CC4-5D6E-409C-BE32-E72D297353CC}">
              <c16:uniqueId val="{00000002-9DAE-44EF-B4A2-9A2A924284E4}"/>
            </c:ext>
          </c:extLst>
        </c:ser>
        <c:dLbls>
          <c:showLegendKey val="0"/>
          <c:showVal val="0"/>
          <c:showCatName val="0"/>
          <c:showSerName val="0"/>
          <c:showPercent val="0"/>
          <c:showBubbleSize val="0"/>
        </c:dLbls>
        <c:smooth val="0"/>
        <c:axId val="533801615"/>
        <c:axId val="533802031"/>
      </c:lineChart>
      <c:catAx>
        <c:axId val="533801615"/>
        <c:scaling>
          <c:orientation val="minMax"/>
        </c:scaling>
        <c:delete val="0"/>
        <c:axPos val="b"/>
        <c:numFmt formatCode="0.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802031"/>
        <c:crosses val="autoZero"/>
        <c:auto val="1"/>
        <c:lblAlgn val="ctr"/>
        <c:lblOffset val="100"/>
        <c:noMultiLvlLbl val="0"/>
      </c:catAx>
      <c:valAx>
        <c:axId val="533802031"/>
        <c:scaling>
          <c:orientation val="minMax"/>
          <c:min val="1.06"/>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801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UI Ohio employed, smoothed</c:v>
          </c:tx>
          <c:spPr>
            <a:ln w="28575" cap="rnd">
              <a:solidFill>
                <a:schemeClr val="accent1"/>
              </a:solidFill>
              <a:round/>
            </a:ln>
            <a:effectLst/>
          </c:spPr>
          <c:marker>
            <c:symbol val="none"/>
          </c:marker>
          <c:cat>
            <c:numRef>
              <c:f>'UI Earnings metrics'!$A$6:$A$64</c:f>
              <c:numCache>
                <c:formatCode>0.000</c:formatCode>
                <c:ptCount val="59"/>
                <c:pt idx="0">
                  <c:v>2004.375</c:v>
                </c:pt>
                <c:pt idx="1">
                  <c:v>2004.625</c:v>
                </c:pt>
                <c:pt idx="2">
                  <c:v>2004.875</c:v>
                </c:pt>
                <c:pt idx="3">
                  <c:v>2005.125</c:v>
                </c:pt>
                <c:pt idx="4">
                  <c:v>2005.375</c:v>
                </c:pt>
                <c:pt idx="5">
                  <c:v>2005.625</c:v>
                </c:pt>
                <c:pt idx="6">
                  <c:v>2005.875</c:v>
                </c:pt>
                <c:pt idx="7">
                  <c:v>2006.125</c:v>
                </c:pt>
                <c:pt idx="8">
                  <c:v>2006.375</c:v>
                </c:pt>
                <c:pt idx="9">
                  <c:v>2006.625</c:v>
                </c:pt>
                <c:pt idx="10">
                  <c:v>2006.875</c:v>
                </c:pt>
                <c:pt idx="11">
                  <c:v>2007.125</c:v>
                </c:pt>
                <c:pt idx="12">
                  <c:v>2007.375</c:v>
                </c:pt>
                <c:pt idx="13">
                  <c:v>2007.625</c:v>
                </c:pt>
                <c:pt idx="14">
                  <c:v>2007.875</c:v>
                </c:pt>
                <c:pt idx="15">
                  <c:v>2008.125</c:v>
                </c:pt>
                <c:pt idx="16">
                  <c:v>2008.375</c:v>
                </c:pt>
                <c:pt idx="17">
                  <c:v>2008.625</c:v>
                </c:pt>
                <c:pt idx="18">
                  <c:v>2008.875</c:v>
                </c:pt>
                <c:pt idx="19">
                  <c:v>2009.125</c:v>
                </c:pt>
                <c:pt idx="20">
                  <c:v>2009.375</c:v>
                </c:pt>
                <c:pt idx="21">
                  <c:v>2009.625</c:v>
                </c:pt>
                <c:pt idx="22">
                  <c:v>2009.875</c:v>
                </c:pt>
                <c:pt idx="23">
                  <c:v>2010.125</c:v>
                </c:pt>
                <c:pt idx="24">
                  <c:v>2010.375</c:v>
                </c:pt>
                <c:pt idx="25">
                  <c:v>2010.625</c:v>
                </c:pt>
                <c:pt idx="26">
                  <c:v>2010.875</c:v>
                </c:pt>
                <c:pt idx="27">
                  <c:v>2011.125</c:v>
                </c:pt>
                <c:pt idx="28">
                  <c:v>2011.375</c:v>
                </c:pt>
                <c:pt idx="29">
                  <c:v>2011.625</c:v>
                </c:pt>
                <c:pt idx="30">
                  <c:v>2011.875</c:v>
                </c:pt>
                <c:pt idx="31">
                  <c:v>2012.125</c:v>
                </c:pt>
                <c:pt idx="32">
                  <c:v>2012.375</c:v>
                </c:pt>
                <c:pt idx="33">
                  <c:v>2012.625</c:v>
                </c:pt>
                <c:pt idx="34">
                  <c:v>2012.875</c:v>
                </c:pt>
                <c:pt idx="35">
                  <c:v>2013.125</c:v>
                </c:pt>
                <c:pt idx="36">
                  <c:v>2013.375</c:v>
                </c:pt>
                <c:pt idx="37">
                  <c:v>2013.625</c:v>
                </c:pt>
                <c:pt idx="38">
                  <c:v>2013.875</c:v>
                </c:pt>
                <c:pt idx="39">
                  <c:v>2014.125</c:v>
                </c:pt>
                <c:pt idx="40">
                  <c:v>2014.375</c:v>
                </c:pt>
                <c:pt idx="41">
                  <c:v>2014.625</c:v>
                </c:pt>
                <c:pt idx="42">
                  <c:v>2014.875</c:v>
                </c:pt>
                <c:pt idx="43">
                  <c:v>2015.125</c:v>
                </c:pt>
                <c:pt idx="44">
                  <c:v>2015.375</c:v>
                </c:pt>
                <c:pt idx="45">
                  <c:v>2015.625</c:v>
                </c:pt>
                <c:pt idx="46">
                  <c:v>2015.875</c:v>
                </c:pt>
                <c:pt idx="47">
                  <c:v>2016.125</c:v>
                </c:pt>
                <c:pt idx="48">
                  <c:v>2016.375</c:v>
                </c:pt>
                <c:pt idx="49">
                  <c:v>2016.625</c:v>
                </c:pt>
                <c:pt idx="50">
                  <c:v>2016.875</c:v>
                </c:pt>
                <c:pt idx="51">
                  <c:v>2017.125</c:v>
                </c:pt>
                <c:pt idx="52">
                  <c:v>2017.375</c:v>
                </c:pt>
                <c:pt idx="53">
                  <c:v>2017.625</c:v>
                </c:pt>
                <c:pt idx="54">
                  <c:v>2017.875</c:v>
                </c:pt>
                <c:pt idx="55">
                  <c:v>2018.125</c:v>
                </c:pt>
                <c:pt idx="56">
                  <c:v>2018.375</c:v>
                </c:pt>
                <c:pt idx="57">
                  <c:v>2018.625</c:v>
                </c:pt>
                <c:pt idx="58">
                  <c:v>2018.875</c:v>
                </c:pt>
              </c:numCache>
            </c:numRef>
          </c:cat>
          <c:val>
            <c:numRef>
              <c:f>'UI Earnings metrics'!$AB$6:$AB$64</c:f>
              <c:numCache>
                <c:formatCode>_(* #,##0_);_(* \(#,##0\);_(* "-"??_);_(@_)</c:formatCode>
                <c:ptCount val="59"/>
                <c:pt idx="0">
                  <c:v>5280706.5</c:v>
                </c:pt>
                <c:pt idx="1">
                  <c:v>5281606.5</c:v>
                </c:pt>
                <c:pt idx="2">
                  <c:v>5286810</c:v>
                </c:pt>
                <c:pt idx="3">
                  <c:v>5288209.5</c:v>
                </c:pt>
                <c:pt idx="4">
                  <c:v>5292565.5</c:v>
                </c:pt>
                <c:pt idx="5">
                  <c:v>5302341</c:v>
                </c:pt>
                <c:pt idx="6">
                  <c:v>5304582</c:v>
                </c:pt>
                <c:pt idx="7">
                  <c:v>5311227</c:v>
                </c:pt>
                <c:pt idx="8">
                  <c:v>5310757.5</c:v>
                </c:pt>
                <c:pt idx="9">
                  <c:v>5321485.5</c:v>
                </c:pt>
                <c:pt idx="10">
                  <c:v>5322694.5</c:v>
                </c:pt>
                <c:pt idx="11">
                  <c:v>5313304.5</c:v>
                </c:pt>
                <c:pt idx="12">
                  <c:v>5315040</c:v>
                </c:pt>
                <c:pt idx="13">
                  <c:v>5296104</c:v>
                </c:pt>
                <c:pt idx="14">
                  <c:v>5291379</c:v>
                </c:pt>
                <c:pt idx="15">
                  <c:v>5292121.5</c:v>
                </c:pt>
                <c:pt idx="16">
                  <c:v>5264554.5</c:v>
                </c:pt>
                <c:pt idx="17">
                  <c:v>5247105</c:v>
                </c:pt>
                <c:pt idx="18">
                  <c:v>5217190.5</c:v>
                </c:pt>
                <c:pt idx="19">
                  <c:v>5155606.5</c:v>
                </c:pt>
                <c:pt idx="20">
                  <c:v>5077356</c:v>
                </c:pt>
                <c:pt idx="21">
                  <c:v>4986909</c:v>
                </c:pt>
                <c:pt idx="22">
                  <c:v>4909785</c:v>
                </c:pt>
                <c:pt idx="23">
                  <c:v>4861776</c:v>
                </c:pt>
                <c:pt idx="24">
                  <c:v>4808337</c:v>
                </c:pt>
                <c:pt idx="25">
                  <c:v>4809955.5</c:v>
                </c:pt>
                <c:pt idx="26">
                  <c:v>4822266</c:v>
                </c:pt>
                <c:pt idx="27">
                  <c:v>4848333</c:v>
                </c:pt>
                <c:pt idx="28">
                  <c:v>4916151</c:v>
                </c:pt>
                <c:pt idx="29">
                  <c:v>4928536.5</c:v>
                </c:pt>
                <c:pt idx="30">
                  <c:v>4947313.5</c:v>
                </c:pt>
                <c:pt idx="31">
                  <c:v>4972440</c:v>
                </c:pt>
                <c:pt idx="32">
                  <c:v>5001547.5</c:v>
                </c:pt>
                <c:pt idx="33">
                  <c:v>5031471</c:v>
                </c:pt>
                <c:pt idx="34">
                  <c:v>5051679</c:v>
                </c:pt>
                <c:pt idx="35">
                  <c:v>5069478</c:v>
                </c:pt>
                <c:pt idx="36">
                  <c:v>5087230.5</c:v>
                </c:pt>
                <c:pt idx="37">
                  <c:v>5113335</c:v>
                </c:pt>
                <c:pt idx="38">
                  <c:v>5135560.5</c:v>
                </c:pt>
                <c:pt idx="39">
                  <c:v>5148688.5</c:v>
                </c:pt>
                <c:pt idx="40">
                  <c:v>5165631</c:v>
                </c:pt>
                <c:pt idx="41">
                  <c:v>5182942.5</c:v>
                </c:pt>
                <c:pt idx="42">
                  <c:v>5199766.5</c:v>
                </c:pt>
                <c:pt idx="43">
                  <c:v>5222607</c:v>
                </c:pt>
                <c:pt idx="44">
                  <c:v>5243409</c:v>
                </c:pt>
                <c:pt idx="45">
                  <c:v>5262052.5</c:v>
                </c:pt>
                <c:pt idx="46">
                  <c:v>5279307</c:v>
                </c:pt>
                <c:pt idx="47">
                  <c:v>5293378.5</c:v>
                </c:pt>
                <c:pt idx="48">
                  <c:v>5308191</c:v>
                </c:pt>
                <c:pt idx="49">
                  <c:v>5327716.5</c:v>
                </c:pt>
                <c:pt idx="50">
                  <c:v>5338425</c:v>
                </c:pt>
                <c:pt idx="51">
                  <c:v>5356263</c:v>
                </c:pt>
                <c:pt idx="52">
                  <c:v>5373930</c:v>
                </c:pt>
                <c:pt idx="53">
                  <c:v>5380947</c:v>
                </c:pt>
                <c:pt idx="54">
                  <c:v>5394724.5</c:v>
                </c:pt>
                <c:pt idx="55">
                  <c:v>5405785.5</c:v>
                </c:pt>
                <c:pt idx="56">
                  <c:v>5414728.5</c:v>
                </c:pt>
              </c:numCache>
            </c:numRef>
          </c:val>
          <c:smooth val="0"/>
          <c:extLst>
            <c:ext xmlns:c16="http://schemas.microsoft.com/office/drawing/2014/chart" uri="{C3380CC4-5D6E-409C-BE32-E72D297353CC}">
              <c16:uniqueId val="{00000000-39FA-4755-BFD5-E891A433765E}"/>
            </c:ext>
          </c:extLst>
        </c:ser>
        <c:ser>
          <c:idx val="1"/>
          <c:order val="1"/>
          <c:tx>
            <c:v>CES Ohio Jobs Held, smoothed</c:v>
          </c:tx>
          <c:spPr>
            <a:ln w="28575" cap="rnd">
              <a:solidFill>
                <a:schemeClr val="accent2"/>
              </a:solidFill>
              <a:round/>
            </a:ln>
            <a:effectLst/>
          </c:spPr>
          <c:marker>
            <c:symbol val="none"/>
          </c:marker>
          <c:cat>
            <c:numRef>
              <c:f>'UI Earnings metrics'!$A$6:$A$64</c:f>
              <c:numCache>
                <c:formatCode>0.000</c:formatCode>
                <c:ptCount val="59"/>
                <c:pt idx="0">
                  <c:v>2004.375</c:v>
                </c:pt>
                <c:pt idx="1">
                  <c:v>2004.625</c:v>
                </c:pt>
                <c:pt idx="2">
                  <c:v>2004.875</c:v>
                </c:pt>
                <c:pt idx="3">
                  <c:v>2005.125</c:v>
                </c:pt>
                <c:pt idx="4">
                  <c:v>2005.375</c:v>
                </c:pt>
                <c:pt idx="5">
                  <c:v>2005.625</c:v>
                </c:pt>
                <c:pt idx="6">
                  <c:v>2005.875</c:v>
                </c:pt>
                <c:pt idx="7">
                  <c:v>2006.125</c:v>
                </c:pt>
                <c:pt idx="8">
                  <c:v>2006.375</c:v>
                </c:pt>
                <c:pt idx="9">
                  <c:v>2006.625</c:v>
                </c:pt>
                <c:pt idx="10">
                  <c:v>2006.875</c:v>
                </c:pt>
                <c:pt idx="11">
                  <c:v>2007.125</c:v>
                </c:pt>
                <c:pt idx="12">
                  <c:v>2007.375</c:v>
                </c:pt>
                <c:pt idx="13">
                  <c:v>2007.625</c:v>
                </c:pt>
                <c:pt idx="14">
                  <c:v>2007.875</c:v>
                </c:pt>
                <c:pt idx="15">
                  <c:v>2008.125</c:v>
                </c:pt>
                <c:pt idx="16">
                  <c:v>2008.375</c:v>
                </c:pt>
                <c:pt idx="17">
                  <c:v>2008.625</c:v>
                </c:pt>
                <c:pt idx="18">
                  <c:v>2008.875</c:v>
                </c:pt>
                <c:pt idx="19">
                  <c:v>2009.125</c:v>
                </c:pt>
                <c:pt idx="20">
                  <c:v>2009.375</c:v>
                </c:pt>
                <c:pt idx="21">
                  <c:v>2009.625</c:v>
                </c:pt>
                <c:pt idx="22">
                  <c:v>2009.875</c:v>
                </c:pt>
                <c:pt idx="23">
                  <c:v>2010.125</c:v>
                </c:pt>
                <c:pt idx="24">
                  <c:v>2010.375</c:v>
                </c:pt>
                <c:pt idx="25">
                  <c:v>2010.625</c:v>
                </c:pt>
                <c:pt idx="26">
                  <c:v>2010.875</c:v>
                </c:pt>
                <c:pt idx="27">
                  <c:v>2011.125</c:v>
                </c:pt>
                <c:pt idx="28">
                  <c:v>2011.375</c:v>
                </c:pt>
                <c:pt idx="29">
                  <c:v>2011.625</c:v>
                </c:pt>
                <c:pt idx="30">
                  <c:v>2011.875</c:v>
                </c:pt>
                <c:pt idx="31">
                  <c:v>2012.125</c:v>
                </c:pt>
                <c:pt idx="32">
                  <c:v>2012.375</c:v>
                </c:pt>
                <c:pt idx="33">
                  <c:v>2012.625</c:v>
                </c:pt>
                <c:pt idx="34">
                  <c:v>2012.875</c:v>
                </c:pt>
                <c:pt idx="35">
                  <c:v>2013.125</c:v>
                </c:pt>
                <c:pt idx="36">
                  <c:v>2013.375</c:v>
                </c:pt>
                <c:pt idx="37">
                  <c:v>2013.625</c:v>
                </c:pt>
                <c:pt idx="38">
                  <c:v>2013.875</c:v>
                </c:pt>
                <c:pt idx="39">
                  <c:v>2014.125</c:v>
                </c:pt>
                <c:pt idx="40">
                  <c:v>2014.375</c:v>
                </c:pt>
                <c:pt idx="41">
                  <c:v>2014.625</c:v>
                </c:pt>
                <c:pt idx="42">
                  <c:v>2014.875</c:v>
                </c:pt>
                <c:pt idx="43">
                  <c:v>2015.125</c:v>
                </c:pt>
                <c:pt idx="44">
                  <c:v>2015.375</c:v>
                </c:pt>
                <c:pt idx="45">
                  <c:v>2015.625</c:v>
                </c:pt>
                <c:pt idx="46">
                  <c:v>2015.875</c:v>
                </c:pt>
                <c:pt idx="47">
                  <c:v>2016.125</c:v>
                </c:pt>
                <c:pt idx="48">
                  <c:v>2016.375</c:v>
                </c:pt>
                <c:pt idx="49">
                  <c:v>2016.625</c:v>
                </c:pt>
                <c:pt idx="50">
                  <c:v>2016.875</c:v>
                </c:pt>
                <c:pt idx="51">
                  <c:v>2017.125</c:v>
                </c:pt>
                <c:pt idx="52">
                  <c:v>2017.375</c:v>
                </c:pt>
                <c:pt idx="53">
                  <c:v>2017.625</c:v>
                </c:pt>
                <c:pt idx="54">
                  <c:v>2017.875</c:v>
                </c:pt>
                <c:pt idx="55">
                  <c:v>2018.125</c:v>
                </c:pt>
                <c:pt idx="56">
                  <c:v>2018.375</c:v>
                </c:pt>
                <c:pt idx="57">
                  <c:v>2018.625</c:v>
                </c:pt>
                <c:pt idx="58">
                  <c:v>2018.875</c:v>
                </c:pt>
              </c:numCache>
            </c:numRef>
          </c:cat>
          <c:val>
            <c:numRef>
              <c:f>'UI Earnings metrics'!$AH$6:$AH$64</c:f>
              <c:numCache>
                <c:formatCode>_(* #,##0_);_(* \(#,##0\);_(* "-"??_);_(@_)</c:formatCode>
                <c:ptCount val="59"/>
                <c:pt idx="0">
                  <c:v>5412025</c:v>
                </c:pt>
                <c:pt idx="1">
                  <c:v>5415725</c:v>
                </c:pt>
                <c:pt idx="2">
                  <c:v>5422050</c:v>
                </c:pt>
                <c:pt idx="3">
                  <c:v>5428475</c:v>
                </c:pt>
                <c:pt idx="4">
                  <c:v>5431350</c:v>
                </c:pt>
                <c:pt idx="5">
                  <c:v>5435725</c:v>
                </c:pt>
                <c:pt idx="6">
                  <c:v>5443050</c:v>
                </c:pt>
                <c:pt idx="7">
                  <c:v>5447575</c:v>
                </c:pt>
                <c:pt idx="8">
                  <c:v>5456475</c:v>
                </c:pt>
                <c:pt idx="9">
                  <c:v>5461875</c:v>
                </c:pt>
                <c:pt idx="10">
                  <c:v>5459825</c:v>
                </c:pt>
                <c:pt idx="11">
                  <c:v>5456175</c:v>
                </c:pt>
                <c:pt idx="12">
                  <c:v>5450725</c:v>
                </c:pt>
                <c:pt idx="13">
                  <c:v>5450400</c:v>
                </c:pt>
                <c:pt idx="14">
                  <c:v>5447975</c:v>
                </c:pt>
                <c:pt idx="15">
                  <c:v>5448475</c:v>
                </c:pt>
                <c:pt idx="16">
                  <c:v>5437775</c:v>
                </c:pt>
                <c:pt idx="17">
                  <c:v>5423200</c:v>
                </c:pt>
                <c:pt idx="18">
                  <c:v>5404300</c:v>
                </c:pt>
                <c:pt idx="19">
                  <c:v>5376325</c:v>
                </c:pt>
                <c:pt idx="20">
                  <c:v>5319925</c:v>
                </c:pt>
                <c:pt idx="21">
                  <c:v>5241025</c:v>
                </c:pt>
                <c:pt idx="22">
                  <c:v>5160500</c:v>
                </c:pt>
                <c:pt idx="23">
                  <c:v>5084650</c:v>
                </c:pt>
                <c:pt idx="24">
                  <c:v>5046075</c:v>
                </c:pt>
                <c:pt idx="25">
                  <c:v>5036550</c:v>
                </c:pt>
                <c:pt idx="26">
                  <c:v>5040500</c:v>
                </c:pt>
                <c:pt idx="27">
                  <c:v>5052950</c:v>
                </c:pt>
                <c:pt idx="28">
                  <c:v>5070450</c:v>
                </c:pt>
                <c:pt idx="29">
                  <c:v>5083525</c:v>
                </c:pt>
                <c:pt idx="30">
                  <c:v>5105900</c:v>
                </c:pt>
                <c:pt idx="31">
                  <c:v>5124925</c:v>
                </c:pt>
                <c:pt idx="32">
                  <c:v>5153600</c:v>
                </c:pt>
                <c:pt idx="33">
                  <c:v>5182525</c:v>
                </c:pt>
                <c:pt idx="34">
                  <c:v>5201000</c:v>
                </c:pt>
                <c:pt idx="35">
                  <c:v>5221875</c:v>
                </c:pt>
                <c:pt idx="36">
                  <c:v>5232325</c:v>
                </c:pt>
                <c:pt idx="37">
                  <c:v>5249475</c:v>
                </c:pt>
                <c:pt idx="38">
                  <c:v>5267225</c:v>
                </c:pt>
                <c:pt idx="39">
                  <c:v>5286975</c:v>
                </c:pt>
                <c:pt idx="40">
                  <c:v>5303675</c:v>
                </c:pt>
                <c:pt idx="41">
                  <c:v>5322175</c:v>
                </c:pt>
                <c:pt idx="42">
                  <c:v>5342500</c:v>
                </c:pt>
                <c:pt idx="43">
                  <c:v>5364325</c:v>
                </c:pt>
                <c:pt idx="44">
                  <c:v>5385325</c:v>
                </c:pt>
                <c:pt idx="45">
                  <c:v>5406000</c:v>
                </c:pt>
                <c:pt idx="46">
                  <c:v>5423850</c:v>
                </c:pt>
                <c:pt idx="47">
                  <c:v>5439525</c:v>
                </c:pt>
                <c:pt idx="48">
                  <c:v>5459225</c:v>
                </c:pt>
                <c:pt idx="49">
                  <c:v>5471250</c:v>
                </c:pt>
                <c:pt idx="50">
                  <c:v>5485750</c:v>
                </c:pt>
                <c:pt idx="51">
                  <c:v>5499575</c:v>
                </c:pt>
                <c:pt idx="52">
                  <c:v>5513125</c:v>
                </c:pt>
                <c:pt idx="53">
                  <c:v>5524750</c:v>
                </c:pt>
                <c:pt idx="54">
                  <c:v>5535175</c:v>
                </c:pt>
                <c:pt idx="55">
                  <c:v>5539650</c:v>
                </c:pt>
                <c:pt idx="56">
                  <c:v>5555700</c:v>
                </c:pt>
                <c:pt idx="57">
                  <c:v>5579800</c:v>
                </c:pt>
                <c:pt idx="58">
                  <c:v>5605675</c:v>
                </c:pt>
              </c:numCache>
            </c:numRef>
          </c:val>
          <c:smooth val="0"/>
          <c:extLst>
            <c:ext xmlns:c16="http://schemas.microsoft.com/office/drawing/2014/chart" uri="{C3380CC4-5D6E-409C-BE32-E72D297353CC}">
              <c16:uniqueId val="{00000001-39FA-4755-BFD5-E891A433765E}"/>
            </c:ext>
          </c:extLst>
        </c:ser>
        <c:ser>
          <c:idx val="2"/>
          <c:order val="2"/>
          <c:tx>
            <c:v>UI Ohio Jobs held, smoothed</c:v>
          </c:tx>
          <c:spPr>
            <a:ln w="28575" cap="rnd">
              <a:solidFill>
                <a:schemeClr val="accent3"/>
              </a:solidFill>
              <a:round/>
            </a:ln>
            <a:effectLst/>
          </c:spPr>
          <c:marker>
            <c:symbol val="none"/>
          </c:marker>
          <c:cat>
            <c:numRef>
              <c:f>'UI Earnings metrics'!$A$6:$A$64</c:f>
              <c:numCache>
                <c:formatCode>0.000</c:formatCode>
                <c:ptCount val="59"/>
                <c:pt idx="0">
                  <c:v>2004.375</c:v>
                </c:pt>
                <c:pt idx="1">
                  <c:v>2004.625</c:v>
                </c:pt>
                <c:pt idx="2">
                  <c:v>2004.875</c:v>
                </c:pt>
                <c:pt idx="3">
                  <c:v>2005.125</c:v>
                </c:pt>
                <c:pt idx="4">
                  <c:v>2005.375</c:v>
                </c:pt>
                <c:pt idx="5">
                  <c:v>2005.625</c:v>
                </c:pt>
                <c:pt idx="6">
                  <c:v>2005.875</c:v>
                </c:pt>
                <c:pt idx="7">
                  <c:v>2006.125</c:v>
                </c:pt>
                <c:pt idx="8">
                  <c:v>2006.375</c:v>
                </c:pt>
                <c:pt idx="9">
                  <c:v>2006.625</c:v>
                </c:pt>
                <c:pt idx="10">
                  <c:v>2006.875</c:v>
                </c:pt>
                <c:pt idx="11">
                  <c:v>2007.125</c:v>
                </c:pt>
                <c:pt idx="12">
                  <c:v>2007.375</c:v>
                </c:pt>
                <c:pt idx="13">
                  <c:v>2007.625</c:v>
                </c:pt>
                <c:pt idx="14">
                  <c:v>2007.875</c:v>
                </c:pt>
                <c:pt idx="15">
                  <c:v>2008.125</c:v>
                </c:pt>
                <c:pt idx="16">
                  <c:v>2008.375</c:v>
                </c:pt>
                <c:pt idx="17">
                  <c:v>2008.625</c:v>
                </c:pt>
                <c:pt idx="18">
                  <c:v>2008.875</c:v>
                </c:pt>
                <c:pt idx="19">
                  <c:v>2009.125</c:v>
                </c:pt>
                <c:pt idx="20">
                  <c:v>2009.375</c:v>
                </c:pt>
                <c:pt idx="21">
                  <c:v>2009.625</c:v>
                </c:pt>
                <c:pt idx="22">
                  <c:v>2009.875</c:v>
                </c:pt>
                <c:pt idx="23">
                  <c:v>2010.125</c:v>
                </c:pt>
                <c:pt idx="24">
                  <c:v>2010.375</c:v>
                </c:pt>
                <c:pt idx="25">
                  <c:v>2010.625</c:v>
                </c:pt>
                <c:pt idx="26">
                  <c:v>2010.875</c:v>
                </c:pt>
                <c:pt idx="27">
                  <c:v>2011.125</c:v>
                </c:pt>
                <c:pt idx="28">
                  <c:v>2011.375</c:v>
                </c:pt>
                <c:pt idx="29">
                  <c:v>2011.625</c:v>
                </c:pt>
                <c:pt idx="30">
                  <c:v>2011.875</c:v>
                </c:pt>
                <c:pt idx="31">
                  <c:v>2012.125</c:v>
                </c:pt>
                <c:pt idx="32">
                  <c:v>2012.375</c:v>
                </c:pt>
                <c:pt idx="33">
                  <c:v>2012.625</c:v>
                </c:pt>
                <c:pt idx="34">
                  <c:v>2012.875</c:v>
                </c:pt>
                <c:pt idx="35">
                  <c:v>2013.125</c:v>
                </c:pt>
                <c:pt idx="36">
                  <c:v>2013.375</c:v>
                </c:pt>
                <c:pt idx="37">
                  <c:v>2013.625</c:v>
                </c:pt>
                <c:pt idx="38">
                  <c:v>2013.875</c:v>
                </c:pt>
                <c:pt idx="39">
                  <c:v>2014.125</c:v>
                </c:pt>
                <c:pt idx="40">
                  <c:v>2014.375</c:v>
                </c:pt>
                <c:pt idx="41">
                  <c:v>2014.625</c:v>
                </c:pt>
                <c:pt idx="42">
                  <c:v>2014.875</c:v>
                </c:pt>
                <c:pt idx="43">
                  <c:v>2015.125</c:v>
                </c:pt>
                <c:pt idx="44">
                  <c:v>2015.375</c:v>
                </c:pt>
                <c:pt idx="45">
                  <c:v>2015.625</c:v>
                </c:pt>
                <c:pt idx="46">
                  <c:v>2015.875</c:v>
                </c:pt>
                <c:pt idx="47">
                  <c:v>2016.125</c:v>
                </c:pt>
                <c:pt idx="48">
                  <c:v>2016.375</c:v>
                </c:pt>
                <c:pt idx="49">
                  <c:v>2016.625</c:v>
                </c:pt>
                <c:pt idx="50">
                  <c:v>2016.875</c:v>
                </c:pt>
                <c:pt idx="51">
                  <c:v>2017.125</c:v>
                </c:pt>
                <c:pt idx="52">
                  <c:v>2017.375</c:v>
                </c:pt>
                <c:pt idx="53">
                  <c:v>2017.625</c:v>
                </c:pt>
                <c:pt idx="54">
                  <c:v>2017.875</c:v>
                </c:pt>
                <c:pt idx="55">
                  <c:v>2018.125</c:v>
                </c:pt>
                <c:pt idx="56">
                  <c:v>2018.375</c:v>
                </c:pt>
                <c:pt idx="57">
                  <c:v>2018.625</c:v>
                </c:pt>
                <c:pt idx="58">
                  <c:v>2018.875</c:v>
                </c:pt>
              </c:numCache>
            </c:numRef>
          </c:cat>
          <c:val>
            <c:numRef>
              <c:f>'UI Earnings metrics'!$AD$6:$AD$64</c:f>
              <c:numCache>
                <c:formatCode>_(* #,##0_);_(* \(#,##0\);_(* "-"??_);_(@_)</c:formatCode>
                <c:ptCount val="59"/>
                <c:pt idx="0">
                  <c:v>5977357.4123999998</c:v>
                </c:pt>
                <c:pt idx="1">
                  <c:v>5984679.1036499999</c:v>
                </c:pt>
                <c:pt idx="2">
                  <c:v>5994666.4639499998</c:v>
                </c:pt>
                <c:pt idx="3">
                  <c:v>5999203.0222499995</c:v>
                </c:pt>
                <c:pt idx="4">
                  <c:v>6006627.5107499994</c:v>
                </c:pt>
                <c:pt idx="5">
                  <c:v>6025451.1140999999</c:v>
                </c:pt>
                <c:pt idx="6">
                  <c:v>6028205.9580000006</c:v>
                </c:pt>
                <c:pt idx="7">
                  <c:v>6040969.8530999999</c:v>
                </c:pt>
                <c:pt idx="8">
                  <c:v>6044455.5406499999</c:v>
                </c:pt>
                <c:pt idx="9">
                  <c:v>6051574.3339499999</c:v>
                </c:pt>
                <c:pt idx="10">
                  <c:v>6053611.604700001</c:v>
                </c:pt>
                <c:pt idx="11">
                  <c:v>6041953.1639999999</c:v>
                </c:pt>
                <c:pt idx="12">
                  <c:v>6041725.8759000003</c:v>
                </c:pt>
                <c:pt idx="13">
                  <c:v>6017472.0912000006</c:v>
                </c:pt>
                <c:pt idx="14">
                  <c:v>6009156.8006999996</c:v>
                </c:pt>
                <c:pt idx="15">
                  <c:v>6006187.3000500007</c:v>
                </c:pt>
                <c:pt idx="16">
                  <c:v>5961649.2489</c:v>
                </c:pt>
                <c:pt idx="17">
                  <c:v>5925008.9283000007</c:v>
                </c:pt>
                <c:pt idx="18">
                  <c:v>5870020.1272500008</c:v>
                </c:pt>
                <c:pt idx="19">
                  <c:v>5774743.0268999999</c:v>
                </c:pt>
                <c:pt idx="20">
                  <c:v>5659361.4127500001</c:v>
                </c:pt>
                <c:pt idx="21">
                  <c:v>5533255.8583499994</c:v>
                </c:pt>
                <c:pt idx="22">
                  <c:v>5435012.2687499998</c:v>
                </c:pt>
                <c:pt idx="23">
                  <c:v>5379840.2765999995</c:v>
                </c:pt>
                <c:pt idx="24">
                  <c:v>5323875.2280000001</c:v>
                </c:pt>
                <c:pt idx="25">
                  <c:v>5335489.0649999995</c:v>
                </c:pt>
                <c:pt idx="26">
                  <c:v>5363722.3702500006</c:v>
                </c:pt>
                <c:pt idx="27">
                  <c:v>5401411.16175</c:v>
                </c:pt>
                <c:pt idx="28">
                  <c:v>5488457.5137000009</c:v>
                </c:pt>
                <c:pt idx="29">
                  <c:v>5513395.3371000001</c:v>
                </c:pt>
                <c:pt idx="30">
                  <c:v>5535626.8574999999</c:v>
                </c:pt>
                <c:pt idx="31">
                  <c:v>5574507.8657999998</c:v>
                </c:pt>
                <c:pt idx="32">
                  <c:v>5618394.2468999997</c:v>
                </c:pt>
                <c:pt idx="33">
                  <c:v>5653218.2135999994</c:v>
                </c:pt>
                <c:pt idx="34">
                  <c:v>5680314.5774999997</c:v>
                </c:pt>
                <c:pt idx="35">
                  <c:v>5700722.1397500001</c:v>
                </c:pt>
                <c:pt idx="36">
                  <c:v>5722115.2101000007</c:v>
                </c:pt>
                <c:pt idx="37">
                  <c:v>5762287.9944000002</c:v>
                </c:pt>
                <c:pt idx="38">
                  <c:v>5794841.8720499994</c:v>
                </c:pt>
                <c:pt idx="39">
                  <c:v>5813980.2357000001</c:v>
                </c:pt>
                <c:pt idx="40">
                  <c:v>5840533.2741</c:v>
                </c:pt>
                <c:pt idx="41">
                  <c:v>5869565.27685</c:v>
                </c:pt>
                <c:pt idx="42">
                  <c:v>5899036.7650500005</c:v>
                </c:pt>
                <c:pt idx="43">
                  <c:v>5931719.7637499999</c:v>
                </c:pt>
                <c:pt idx="44">
                  <c:v>5963845.9351500012</c:v>
                </c:pt>
                <c:pt idx="45">
                  <c:v>5992228.6785000004</c:v>
                </c:pt>
                <c:pt idx="46">
                  <c:v>6019139.4271499999</c:v>
                </c:pt>
                <c:pt idx="47">
                  <c:v>6037547.7656999994</c:v>
                </c:pt>
                <c:pt idx="48">
                  <c:v>6060639.3048</c:v>
                </c:pt>
                <c:pt idx="49">
                  <c:v>6090415.0105500007</c:v>
                </c:pt>
                <c:pt idx="50">
                  <c:v>6101759.8629000001</c:v>
                </c:pt>
                <c:pt idx="51">
                  <c:v>6130627.9419</c:v>
                </c:pt>
                <c:pt idx="52">
                  <c:v>6157307.8016999997</c:v>
                </c:pt>
                <c:pt idx="53">
                  <c:v>6162828.8544000005</c:v>
                </c:pt>
                <c:pt idx="54">
                  <c:v>6184230.7447500005</c:v>
                </c:pt>
                <c:pt idx="55">
                  <c:v>6200694.0568500012</c:v>
                </c:pt>
                <c:pt idx="56">
                  <c:v>6211866.3791999994</c:v>
                </c:pt>
              </c:numCache>
            </c:numRef>
          </c:val>
          <c:smooth val="0"/>
          <c:extLst>
            <c:ext xmlns:c16="http://schemas.microsoft.com/office/drawing/2014/chart" uri="{C3380CC4-5D6E-409C-BE32-E72D297353CC}">
              <c16:uniqueId val="{00000002-39FA-4755-BFD5-E891A433765E}"/>
            </c:ext>
          </c:extLst>
        </c:ser>
        <c:dLbls>
          <c:showLegendKey val="0"/>
          <c:showVal val="0"/>
          <c:showCatName val="0"/>
          <c:showSerName val="0"/>
          <c:showPercent val="0"/>
          <c:showBubbleSize val="0"/>
        </c:dLbls>
        <c:smooth val="0"/>
        <c:axId val="674809663"/>
        <c:axId val="674814239"/>
      </c:lineChart>
      <c:catAx>
        <c:axId val="674809663"/>
        <c:scaling>
          <c:orientation val="minMax"/>
        </c:scaling>
        <c:delete val="0"/>
        <c:axPos val="b"/>
        <c:numFmt formatCode="0.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814239"/>
        <c:crosses val="autoZero"/>
        <c:auto val="1"/>
        <c:lblAlgn val="ctr"/>
        <c:lblOffset val="100"/>
        <c:noMultiLvlLbl val="0"/>
      </c:catAx>
      <c:valAx>
        <c:axId val="674814239"/>
        <c:scaling>
          <c:orientation val="minMax"/>
          <c:min val="400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809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Earnings Accrual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Job accrual  Rate</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'UI Earnings metrics'!$A$2:$A$62</c:f>
              <c:numCache>
                <c:formatCode>0.000</c:formatCode>
                <c:ptCount val="61"/>
                <c:pt idx="0">
                  <c:v>2003.375</c:v>
                </c:pt>
                <c:pt idx="1">
                  <c:v>2003.625</c:v>
                </c:pt>
                <c:pt idx="2">
                  <c:v>2003.875</c:v>
                </c:pt>
                <c:pt idx="3">
                  <c:v>2004.125</c:v>
                </c:pt>
                <c:pt idx="4">
                  <c:v>2004.375</c:v>
                </c:pt>
                <c:pt idx="5">
                  <c:v>2004.625</c:v>
                </c:pt>
                <c:pt idx="6">
                  <c:v>2004.875</c:v>
                </c:pt>
                <c:pt idx="7">
                  <c:v>2005.125</c:v>
                </c:pt>
                <c:pt idx="8">
                  <c:v>2005.375</c:v>
                </c:pt>
                <c:pt idx="9">
                  <c:v>2005.625</c:v>
                </c:pt>
                <c:pt idx="10">
                  <c:v>2005.875</c:v>
                </c:pt>
                <c:pt idx="11">
                  <c:v>2006.125</c:v>
                </c:pt>
                <c:pt idx="12">
                  <c:v>2006.375</c:v>
                </c:pt>
                <c:pt idx="13">
                  <c:v>2006.625</c:v>
                </c:pt>
                <c:pt idx="14">
                  <c:v>2006.875</c:v>
                </c:pt>
                <c:pt idx="15">
                  <c:v>2007.125</c:v>
                </c:pt>
                <c:pt idx="16">
                  <c:v>2007.375</c:v>
                </c:pt>
                <c:pt idx="17">
                  <c:v>2007.625</c:v>
                </c:pt>
                <c:pt idx="18">
                  <c:v>2007.875</c:v>
                </c:pt>
                <c:pt idx="19">
                  <c:v>2008.125</c:v>
                </c:pt>
                <c:pt idx="20">
                  <c:v>2008.375</c:v>
                </c:pt>
                <c:pt idx="21">
                  <c:v>2008.625</c:v>
                </c:pt>
                <c:pt idx="22">
                  <c:v>2008.875</c:v>
                </c:pt>
                <c:pt idx="23">
                  <c:v>2009.125</c:v>
                </c:pt>
                <c:pt idx="24">
                  <c:v>2009.375</c:v>
                </c:pt>
                <c:pt idx="25">
                  <c:v>2009.625</c:v>
                </c:pt>
                <c:pt idx="26">
                  <c:v>2009.875</c:v>
                </c:pt>
                <c:pt idx="27">
                  <c:v>2010.125</c:v>
                </c:pt>
                <c:pt idx="28">
                  <c:v>2010.375</c:v>
                </c:pt>
                <c:pt idx="29">
                  <c:v>2010.625</c:v>
                </c:pt>
                <c:pt idx="30">
                  <c:v>2010.875</c:v>
                </c:pt>
                <c:pt idx="31">
                  <c:v>2011.125</c:v>
                </c:pt>
                <c:pt idx="32">
                  <c:v>2011.375</c:v>
                </c:pt>
                <c:pt idx="33">
                  <c:v>2011.625</c:v>
                </c:pt>
                <c:pt idx="34">
                  <c:v>2011.875</c:v>
                </c:pt>
                <c:pt idx="35">
                  <c:v>2012.125</c:v>
                </c:pt>
                <c:pt idx="36">
                  <c:v>2012.375</c:v>
                </c:pt>
                <c:pt idx="37">
                  <c:v>2012.625</c:v>
                </c:pt>
                <c:pt idx="38">
                  <c:v>2012.875</c:v>
                </c:pt>
                <c:pt idx="39">
                  <c:v>2013.125</c:v>
                </c:pt>
                <c:pt idx="40">
                  <c:v>2013.375</c:v>
                </c:pt>
                <c:pt idx="41">
                  <c:v>2013.625</c:v>
                </c:pt>
                <c:pt idx="42">
                  <c:v>2013.875</c:v>
                </c:pt>
                <c:pt idx="43">
                  <c:v>2014.125</c:v>
                </c:pt>
                <c:pt idx="44">
                  <c:v>2014.375</c:v>
                </c:pt>
                <c:pt idx="45">
                  <c:v>2014.625</c:v>
                </c:pt>
                <c:pt idx="46">
                  <c:v>2014.875</c:v>
                </c:pt>
                <c:pt idx="47">
                  <c:v>2015.125</c:v>
                </c:pt>
                <c:pt idx="48">
                  <c:v>2015.375</c:v>
                </c:pt>
                <c:pt idx="49">
                  <c:v>2015.625</c:v>
                </c:pt>
                <c:pt idx="50">
                  <c:v>2015.875</c:v>
                </c:pt>
                <c:pt idx="51">
                  <c:v>2016.125</c:v>
                </c:pt>
                <c:pt idx="52">
                  <c:v>2016.375</c:v>
                </c:pt>
                <c:pt idx="53">
                  <c:v>2016.625</c:v>
                </c:pt>
                <c:pt idx="54">
                  <c:v>2016.875</c:v>
                </c:pt>
                <c:pt idx="55">
                  <c:v>2017.125</c:v>
                </c:pt>
                <c:pt idx="56">
                  <c:v>2017.375</c:v>
                </c:pt>
                <c:pt idx="57">
                  <c:v>2017.625</c:v>
                </c:pt>
                <c:pt idx="58">
                  <c:v>2017.875</c:v>
                </c:pt>
                <c:pt idx="59">
                  <c:v>2018.125</c:v>
                </c:pt>
                <c:pt idx="60">
                  <c:v>2018.375</c:v>
                </c:pt>
              </c:numCache>
            </c:numRef>
          </c:cat>
          <c:val>
            <c:numRef>
              <c:f>'UI Earnings metrics'!$AJ$2:$AJ$62</c:f>
              <c:numCache>
                <c:formatCode>0.00%</c:formatCode>
                <c:ptCount val="61"/>
                <c:pt idx="0">
                  <c:v>9.5042769437790178E-2</c:v>
                </c:pt>
                <c:pt idx="1">
                  <c:v>7.8069245728629014E-2</c:v>
                </c:pt>
                <c:pt idx="2">
                  <c:v>7.100263856988813E-2</c:v>
                </c:pt>
                <c:pt idx="3">
                  <c:v>5.8230817599866889E-2</c:v>
                </c:pt>
                <c:pt idx="4">
                  <c:v>9.2702817174272423E-2</c:v>
                </c:pt>
                <c:pt idx="5">
                  <c:v>7.4365992022668456E-2</c:v>
                </c:pt>
                <c:pt idx="6">
                  <c:v>7.1867227293237315E-2</c:v>
                </c:pt>
                <c:pt idx="7">
                  <c:v>5.6144641236069298E-2</c:v>
                </c:pt>
                <c:pt idx="8">
                  <c:v>9.203512462148554E-2</c:v>
                </c:pt>
                <c:pt idx="9">
                  <c:v>7.535130930677407E-2</c:v>
                </c:pt>
                <c:pt idx="10">
                  <c:v>6.7852475672147042E-2</c:v>
                </c:pt>
                <c:pt idx="11">
                  <c:v>5.8512556418722064E-2</c:v>
                </c:pt>
                <c:pt idx="12">
                  <c:v>9.2086855785877872E-2</c:v>
                </c:pt>
                <c:pt idx="13">
                  <c:v>9.1016736764421E-2</c:v>
                </c:pt>
                <c:pt idx="14">
                  <c:v>7.2930211902277872E-2</c:v>
                </c:pt>
                <c:pt idx="15">
                  <c:v>5.7908001607975511E-2</c:v>
                </c:pt>
                <c:pt idx="16">
                  <c:v>9.8096327026025693E-2</c:v>
                </c:pt>
                <c:pt idx="17">
                  <c:v>7.2553801155815403E-2</c:v>
                </c:pt>
                <c:pt idx="18">
                  <c:v>7.1174608920005697E-2</c:v>
                </c:pt>
                <c:pt idx="19">
                  <c:v>5.7989270957625835E-2</c:v>
                </c:pt>
                <c:pt idx="20">
                  <c:v>8.875108517905804E-2</c:v>
                </c:pt>
                <c:pt idx="21">
                  <c:v>7.8771851370870505E-2</c:v>
                </c:pt>
                <c:pt idx="22">
                  <c:v>6.3486046924441597E-2</c:v>
                </c:pt>
                <c:pt idx="23">
                  <c:v>4.4735984475325119E-2</c:v>
                </c:pt>
                <c:pt idx="24">
                  <c:v>8.0288999298146299E-2</c:v>
                </c:pt>
                <c:pt idx="25">
                  <c:v>7.7863779953248807E-2</c:v>
                </c:pt>
                <c:pt idx="26">
                  <c:v>7.2478931677382272E-2</c:v>
                </c:pt>
                <c:pt idx="27">
                  <c:v>5.6663012295279758E-2</c:v>
                </c:pt>
                <c:pt idx="28">
                  <c:v>9.9875340842918894E-2</c:v>
                </c:pt>
                <c:pt idx="29">
                  <c:v>0.1203769711350889</c:v>
                </c:pt>
                <c:pt idx="30">
                  <c:v>7.8133175417675477E-2</c:v>
                </c:pt>
                <c:pt idx="31">
                  <c:v>5.7221691846923474E-2</c:v>
                </c:pt>
                <c:pt idx="32">
                  <c:v>8.5232682418589042E-2</c:v>
                </c:pt>
                <c:pt idx="33">
                  <c:v>7.1396044558700911E-2</c:v>
                </c:pt>
                <c:pt idx="34">
                  <c:v>7.5472171958096634E-2</c:v>
                </c:pt>
                <c:pt idx="35">
                  <c:v>5.4288551373642108E-2</c:v>
                </c:pt>
                <c:pt idx="36">
                  <c:v>8.5012745851538132E-2</c:v>
                </c:pt>
                <c:pt idx="37">
                  <c:v>6.5243492740522727E-2</c:v>
                </c:pt>
                <c:pt idx="38">
                  <c:v>6.843069680719395E-2</c:v>
                </c:pt>
                <c:pt idx="39">
                  <c:v>5.1835395490669817E-2</c:v>
                </c:pt>
                <c:pt idx="40">
                  <c:v>8.3462501760529523E-2</c:v>
                </c:pt>
                <c:pt idx="41">
                  <c:v>6.400437279734135E-2</c:v>
                </c:pt>
                <c:pt idx="42">
                  <c:v>6.1948537497262403E-2</c:v>
                </c:pt>
                <c:pt idx="43">
                  <c:v>4.8770691627479629E-2</c:v>
                </c:pt>
                <c:pt idx="44">
                  <c:v>8.4619934519228834E-2</c:v>
                </c:pt>
                <c:pt idx="45">
                  <c:v>6.3097658251052929E-2</c:v>
                </c:pt>
                <c:pt idx="46">
                  <c:v>6.104750831720912E-2</c:v>
                </c:pt>
                <c:pt idx="47">
                  <c:v>4.8026916759197867E-2</c:v>
                </c:pt>
                <c:pt idx="48">
                  <c:v>8.1255943257157612E-2</c:v>
                </c:pt>
                <c:pt idx="49">
                  <c:v>6.1074129092393264E-2</c:v>
                </c:pt>
                <c:pt idx="50">
                  <c:v>5.8520731935692336E-2</c:v>
                </c:pt>
                <c:pt idx="51">
                  <c:v>4.6557618801825712E-2</c:v>
                </c:pt>
                <c:pt idx="52">
                  <c:v>7.9921157925211136E-2</c:v>
                </c:pt>
                <c:pt idx="53">
                  <c:v>6.3145851385224092E-2</c:v>
                </c:pt>
                <c:pt idx="54">
                  <c:v>5.4388141973620442E-2</c:v>
                </c:pt>
                <c:pt idx="55">
                  <c:v>4.9823714359034273E-2</c:v>
                </c:pt>
                <c:pt idx="56">
                  <c:v>8.0919795105155637E-2</c:v>
                </c:pt>
                <c:pt idx="57">
                  <c:v>5.8138533671813458E-2</c:v>
                </c:pt>
                <c:pt idx="58">
                  <c:v>5.7323291884549668E-2</c:v>
                </c:pt>
                <c:pt idx="59">
                  <c:v>4.8486226620295454E-2</c:v>
                </c:pt>
                <c:pt idx="60">
                  <c:v>7.9254404731714939E-2</c:v>
                </c:pt>
              </c:numCache>
            </c:numRef>
          </c:val>
          <c:smooth val="0"/>
          <c:extLst>
            <c:ext xmlns:c16="http://schemas.microsoft.com/office/drawing/2014/chart" uri="{C3380CC4-5D6E-409C-BE32-E72D297353CC}">
              <c16:uniqueId val="{00000000-9543-497F-A0FB-116D82172E2C}"/>
            </c:ext>
          </c:extLst>
        </c:ser>
        <c:dLbls>
          <c:showLegendKey val="0"/>
          <c:showVal val="0"/>
          <c:showCatName val="0"/>
          <c:showSerName val="0"/>
          <c:showPercent val="0"/>
          <c:showBubbleSize val="0"/>
        </c:dLbls>
        <c:marker val="1"/>
        <c:smooth val="0"/>
        <c:axId val="739418256"/>
        <c:axId val="739421584"/>
      </c:lineChart>
      <c:catAx>
        <c:axId val="739418256"/>
        <c:scaling>
          <c:orientation val="minMax"/>
        </c:scaling>
        <c:delete val="0"/>
        <c:axPos val="b"/>
        <c:numFmt formatCode="0.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421584"/>
        <c:crosses val="autoZero"/>
        <c:auto val="1"/>
        <c:lblAlgn val="ctr"/>
        <c:lblOffset val="100"/>
        <c:noMultiLvlLbl val="0"/>
      </c:catAx>
      <c:valAx>
        <c:axId val="739421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41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Wage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11552416242087"/>
          <c:y val="0.18560185185185185"/>
          <c:w val="0.84166878956306934"/>
          <c:h val="0.61345727617381163"/>
        </c:manualLayout>
      </c:layout>
      <c:lineChart>
        <c:grouping val="standard"/>
        <c:varyColors val="0"/>
        <c:ser>
          <c:idx val="0"/>
          <c:order val="0"/>
          <c:tx>
            <c:v>Wage growth nominal smoothed</c:v>
          </c:tx>
          <c:spPr>
            <a:ln w="28575" cap="rnd">
              <a:solidFill>
                <a:schemeClr val="accent1"/>
              </a:solidFill>
              <a:round/>
            </a:ln>
            <a:effectLst/>
          </c:spPr>
          <c:marker>
            <c:symbol val="none"/>
          </c:marker>
          <c:cat>
            <c:numRef>
              <c:f>'UI Earnings metrics'!$A$5:$A$62</c:f>
              <c:numCache>
                <c:formatCode>0.000</c:formatCode>
                <c:ptCount val="58"/>
                <c:pt idx="0">
                  <c:v>2004.125</c:v>
                </c:pt>
                <c:pt idx="1">
                  <c:v>2004.375</c:v>
                </c:pt>
                <c:pt idx="2">
                  <c:v>2004.625</c:v>
                </c:pt>
                <c:pt idx="3">
                  <c:v>2004.875</c:v>
                </c:pt>
                <c:pt idx="4">
                  <c:v>2005.125</c:v>
                </c:pt>
                <c:pt idx="5">
                  <c:v>2005.375</c:v>
                </c:pt>
                <c:pt idx="6">
                  <c:v>2005.625</c:v>
                </c:pt>
                <c:pt idx="7">
                  <c:v>2005.875</c:v>
                </c:pt>
                <c:pt idx="8">
                  <c:v>2006.125</c:v>
                </c:pt>
                <c:pt idx="9">
                  <c:v>2006.375</c:v>
                </c:pt>
                <c:pt idx="10">
                  <c:v>2006.625</c:v>
                </c:pt>
                <c:pt idx="11">
                  <c:v>2006.875</c:v>
                </c:pt>
                <c:pt idx="12">
                  <c:v>2007.125</c:v>
                </c:pt>
                <c:pt idx="13">
                  <c:v>2007.375</c:v>
                </c:pt>
                <c:pt idx="14">
                  <c:v>2007.625</c:v>
                </c:pt>
                <c:pt idx="15">
                  <c:v>2007.875</c:v>
                </c:pt>
                <c:pt idx="16">
                  <c:v>2008.125</c:v>
                </c:pt>
                <c:pt idx="17">
                  <c:v>2008.375</c:v>
                </c:pt>
                <c:pt idx="18">
                  <c:v>2008.625</c:v>
                </c:pt>
                <c:pt idx="19">
                  <c:v>2008.875</c:v>
                </c:pt>
                <c:pt idx="20">
                  <c:v>2009.125</c:v>
                </c:pt>
                <c:pt idx="21">
                  <c:v>2009.375</c:v>
                </c:pt>
                <c:pt idx="22">
                  <c:v>2009.625</c:v>
                </c:pt>
                <c:pt idx="23">
                  <c:v>2009.875</c:v>
                </c:pt>
                <c:pt idx="24">
                  <c:v>2010.125</c:v>
                </c:pt>
                <c:pt idx="25">
                  <c:v>2010.375</c:v>
                </c:pt>
                <c:pt idx="26">
                  <c:v>2010.625</c:v>
                </c:pt>
                <c:pt idx="27">
                  <c:v>2010.875</c:v>
                </c:pt>
                <c:pt idx="28">
                  <c:v>2011.125</c:v>
                </c:pt>
                <c:pt idx="29">
                  <c:v>2011.375</c:v>
                </c:pt>
                <c:pt idx="30">
                  <c:v>2011.625</c:v>
                </c:pt>
                <c:pt idx="31">
                  <c:v>2011.875</c:v>
                </c:pt>
                <c:pt idx="32">
                  <c:v>2012.125</c:v>
                </c:pt>
                <c:pt idx="33">
                  <c:v>2012.375</c:v>
                </c:pt>
                <c:pt idx="34">
                  <c:v>2012.625</c:v>
                </c:pt>
                <c:pt idx="35">
                  <c:v>2012.875</c:v>
                </c:pt>
                <c:pt idx="36">
                  <c:v>2013.125</c:v>
                </c:pt>
                <c:pt idx="37">
                  <c:v>2013.375</c:v>
                </c:pt>
                <c:pt idx="38">
                  <c:v>2013.625</c:v>
                </c:pt>
                <c:pt idx="39">
                  <c:v>2013.875</c:v>
                </c:pt>
                <c:pt idx="40">
                  <c:v>2014.125</c:v>
                </c:pt>
                <c:pt idx="41">
                  <c:v>2014.375</c:v>
                </c:pt>
                <c:pt idx="42">
                  <c:v>2014.625</c:v>
                </c:pt>
                <c:pt idx="43">
                  <c:v>2014.875</c:v>
                </c:pt>
                <c:pt idx="44">
                  <c:v>2015.125</c:v>
                </c:pt>
                <c:pt idx="45">
                  <c:v>2015.375</c:v>
                </c:pt>
                <c:pt idx="46">
                  <c:v>2015.625</c:v>
                </c:pt>
                <c:pt idx="47">
                  <c:v>2015.875</c:v>
                </c:pt>
                <c:pt idx="48">
                  <c:v>2016.125</c:v>
                </c:pt>
                <c:pt idx="49">
                  <c:v>2016.375</c:v>
                </c:pt>
                <c:pt idx="50">
                  <c:v>2016.625</c:v>
                </c:pt>
                <c:pt idx="51">
                  <c:v>2016.875</c:v>
                </c:pt>
                <c:pt idx="52">
                  <c:v>2017.125</c:v>
                </c:pt>
                <c:pt idx="53">
                  <c:v>2017.375</c:v>
                </c:pt>
                <c:pt idx="54">
                  <c:v>2017.625</c:v>
                </c:pt>
                <c:pt idx="55">
                  <c:v>2017.875</c:v>
                </c:pt>
                <c:pt idx="56">
                  <c:v>2018.125</c:v>
                </c:pt>
                <c:pt idx="57">
                  <c:v>2018.375</c:v>
                </c:pt>
              </c:numCache>
            </c:numRef>
          </c:cat>
          <c:val>
            <c:numRef>
              <c:f>'UI Earnings metrics'!$F$6:$F$62</c:f>
              <c:numCache>
                <c:formatCode>0.0000000</c:formatCode>
                <c:ptCount val="57"/>
                <c:pt idx="0">
                  <c:v>8.0720199999999992E-2</c:v>
                </c:pt>
                <c:pt idx="1">
                  <c:v>8.8455299999999987E-2</c:v>
                </c:pt>
                <c:pt idx="2">
                  <c:v>9.0530400000000011E-2</c:v>
                </c:pt>
                <c:pt idx="3">
                  <c:v>6.612040000000001E-2</c:v>
                </c:pt>
                <c:pt idx="4">
                  <c:v>7.8622200000000017E-2</c:v>
                </c:pt>
                <c:pt idx="5">
                  <c:v>9.4892600000000007E-2</c:v>
                </c:pt>
                <c:pt idx="6">
                  <c:v>5.9362000000000005E-2</c:v>
                </c:pt>
                <c:pt idx="7">
                  <c:v>8.8818999999999995E-2</c:v>
                </c:pt>
                <c:pt idx="8">
                  <c:v>7.3221700000000001E-2</c:v>
                </c:pt>
                <c:pt idx="9">
                  <c:v>4.9138100000000004E-2</c:v>
                </c:pt>
                <c:pt idx="10">
                  <c:v>7.2101100000000001E-2</c:v>
                </c:pt>
                <c:pt idx="11">
                  <c:v>7.3934431999999981E-2</c:v>
                </c:pt>
                <c:pt idx="12">
                  <c:v>7.5549432E-2</c:v>
                </c:pt>
                <c:pt idx="13">
                  <c:v>7.5040531999999993E-2</c:v>
                </c:pt>
                <c:pt idx="14">
                  <c:v>7.5335031999999996E-2</c:v>
                </c:pt>
                <c:pt idx="15">
                  <c:v>7.1494599999999991E-2</c:v>
                </c:pt>
                <c:pt idx="16">
                  <c:v>6.9287000000000015E-2</c:v>
                </c:pt>
                <c:pt idx="17">
                  <c:v>6.7190700000000006E-2</c:v>
                </c:pt>
                <c:pt idx="18">
                  <c:v>6.7049899999999996E-2</c:v>
                </c:pt>
                <c:pt idx="19">
                  <c:v>5.0910499999999997E-2</c:v>
                </c:pt>
                <c:pt idx="20">
                  <c:v>4.9614800000000001E-2</c:v>
                </c:pt>
                <c:pt idx="21">
                  <c:v>5.4194400000000004E-2</c:v>
                </c:pt>
                <c:pt idx="22">
                  <c:v>7.6163599999999998E-2</c:v>
                </c:pt>
                <c:pt idx="23">
                  <c:v>5.8437599999999992E-2</c:v>
                </c:pt>
                <c:pt idx="24">
                  <c:v>7.7693499999999999E-2</c:v>
                </c:pt>
                <c:pt idx="25">
                  <c:v>8.2477599999999998E-2</c:v>
                </c:pt>
                <c:pt idx="26">
                  <c:v>7.0360300000000001E-2</c:v>
                </c:pt>
                <c:pt idx="27">
                  <c:v>7.1675600000000006E-2</c:v>
                </c:pt>
                <c:pt idx="28">
                  <c:v>6.8997299999999998E-2</c:v>
                </c:pt>
                <c:pt idx="29">
                  <c:v>8.5739700000000002E-2</c:v>
                </c:pt>
                <c:pt idx="30">
                  <c:v>5.1230600000000001E-2</c:v>
                </c:pt>
                <c:pt idx="31">
                  <c:v>9.4451800000000016E-2</c:v>
                </c:pt>
                <c:pt idx="32">
                  <c:v>7.4593099999999996E-2</c:v>
                </c:pt>
                <c:pt idx="33">
                  <c:v>4.8179800000000002E-2</c:v>
                </c:pt>
                <c:pt idx="34">
                  <c:v>6.9402600000000009E-2</c:v>
                </c:pt>
                <c:pt idx="35">
                  <c:v>6.1353243999999994E-2</c:v>
                </c:pt>
                <c:pt idx="36">
                  <c:v>6.4155244E-2</c:v>
                </c:pt>
                <c:pt idx="37">
                  <c:v>6.7270843999999996E-2</c:v>
                </c:pt>
                <c:pt idx="38">
                  <c:v>7.4695744000000008E-2</c:v>
                </c:pt>
                <c:pt idx="39">
                  <c:v>7.2435699999999992E-2</c:v>
                </c:pt>
                <c:pt idx="40">
                  <c:v>7.9743099999999997E-2</c:v>
                </c:pt>
                <c:pt idx="41">
                  <c:v>8.1413700000000006E-2</c:v>
                </c:pt>
                <c:pt idx="42">
                  <c:v>9.0097299999999991E-2</c:v>
                </c:pt>
                <c:pt idx="43">
                  <c:v>8.4180499999999991E-2</c:v>
                </c:pt>
                <c:pt idx="44">
                  <c:v>8.5619399999999998E-2</c:v>
                </c:pt>
                <c:pt idx="45">
                  <c:v>8.2494899999999996E-2</c:v>
                </c:pt>
                <c:pt idx="46">
                  <c:v>9.3413200000000002E-2</c:v>
                </c:pt>
                <c:pt idx="47">
                  <c:v>6.5260299999999993E-2</c:v>
                </c:pt>
                <c:pt idx="48">
                  <c:v>7.3045699999999991E-2</c:v>
                </c:pt>
                <c:pt idx="49">
                  <c:v>9.4013999999999986E-2</c:v>
                </c:pt>
                <c:pt idx="50">
                  <c:v>4.6938599999999997E-2</c:v>
                </c:pt>
                <c:pt idx="51">
                  <c:v>8.8912900000000017E-2</c:v>
                </c:pt>
                <c:pt idx="52">
                  <c:v>6.9420899999999994E-2</c:v>
                </c:pt>
                <c:pt idx="53">
                  <c:v>5.38019E-2</c:v>
                </c:pt>
                <c:pt idx="54">
                  <c:v>7.7825199999999997E-2</c:v>
                </c:pt>
                <c:pt idx="55">
                  <c:v>8.0763399999999999E-2</c:v>
                </c:pt>
                <c:pt idx="56">
                  <c:v>8.1888199999999994E-2</c:v>
                </c:pt>
              </c:numCache>
            </c:numRef>
          </c:val>
          <c:smooth val="0"/>
          <c:extLst>
            <c:ext xmlns:c16="http://schemas.microsoft.com/office/drawing/2014/chart" uri="{C3380CC4-5D6E-409C-BE32-E72D297353CC}">
              <c16:uniqueId val="{00000000-3E4E-465D-B442-443680724201}"/>
            </c:ext>
          </c:extLst>
        </c:ser>
        <c:ser>
          <c:idx val="1"/>
          <c:order val="1"/>
          <c:tx>
            <c:v>Wage growth, real smoothed</c:v>
          </c:tx>
          <c:spPr>
            <a:ln w="28575" cap="rnd">
              <a:solidFill>
                <a:schemeClr val="accent2"/>
              </a:solidFill>
              <a:round/>
            </a:ln>
            <a:effectLst/>
          </c:spPr>
          <c:marker>
            <c:symbol val="none"/>
          </c:marker>
          <c:val>
            <c:numRef>
              <c:f>'UI Earnings metrics'!$G$6:$G$62</c:f>
              <c:numCache>
                <c:formatCode>0.0000000</c:formatCode>
                <c:ptCount val="57"/>
                <c:pt idx="0">
                  <c:v>6.0773577403564594E-2</c:v>
                </c:pt>
                <c:pt idx="1">
                  <c:v>6.6429603045509308E-2</c:v>
                </c:pt>
                <c:pt idx="2">
                  <c:v>7.0620987753332254E-2</c:v>
                </c:pt>
                <c:pt idx="3">
                  <c:v>4.803328312000224E-2</c:v>
                </c:pt>
                <c:pt idx="4">
                  <c:v>5.1043276903794364E-2</c:v>
                </c:pt>
                <c:pt idx="5">
                  <c:v>6.8401756061689245E-2</c:v>
                </c:pt>
                <c:pt idx="6">
                  <c:v>2.592901921704558E-2</c:v>
                </c:pt>
                <c:pt idx="7">
                  <c:v>5.879788362999E-2</c:v>
                </c:pt>
                <c:pt idx="8">
                  <c:v>4.42983961075318E-2</c:v>
                </c:pt>
                <c:pt idx="9">
                  <c:v>1.1445821690314131E-2</c:v>
                </c:pt>
                <c:pt idx="10">
                  <c:v>3.5821172915617358E-2</c:v>
                </c:pt>
                <c:pt idx="11">
                  <c:v>3.7497551541799831E-2</c:v>
                </c:pt>
                <c:pt idx="12">
                  <c:v>3.6846414939554831E-2</c:v>
                </c:pt>
                <c:pt idx="13">
                  <c:v>4.2043602432477498E-2</c:v>
                </c:pt>
                <c:pt idx="14">
                  <c:v>5.576502013737146E-2</c:v>
                </c:pt>
                <c:pt idx="15">
                  <c:v>4.7328092690196007E-2</c:v>
                </c:pt>
                <c:pt idx="16">
                  <c:v>4.281901860459085E-2</c:v>
                </c:pt>
                <c:pt idx="17">
                  <c:v>4.383280588024413E-2</c:v>
                </c:pt>
                <c:pt idx="18">
                  <c:v>2.7323865280946109E-2</c:v>
                </c:pt>
                <c:pt idx="19">
                  <c:v>1.0156533501683981E-2</c:v>
                </c:pt>
                <c:pt idx="20">
                  <c:v>7.1769985551519474E-3</c:v>
                </c:pt>
                <c:pt idx="21">
                  <c:v>2.6679178951395117E-3</c:v>
                </c:pt>
                <c:pt idx="22">
                  <c:v>5.980543850063233E-2</c:v>
                </c:pt>
                <c:pt idx="23">
                  <c:v>5.9790020301005956E-2</c:v>
                </c:pt>
                <c:pt idx="24">
                  <c:v>8.6737722447673929E-2</c:v>
                </c:pt>
                <c:pt idx="25">
                  <c:v>9.8336694462260371E-2</c:v>
                </c:pt>
                <c:pt idx="26">
                  <c:v>5.5488158201056612E-2</c:v>
                </c:pt>
                <c:pt idx="27">
                  <c:v>4.8339727724391282E-2</c:v>
                </c:pt>
                <c:pt idx="28">
                  <c:v>5.1331693522152631E-2</c:v>
                </c:pt>
                <c:pt idx="29">
                  <c:v>7.3746559707106404E-2</c:v>
                </c:pt>
                <c:pt idx="30">
                  <c:v>3.896955293835852E-2</c:v>
                </c:pt>
                <c:pt idx="31">
                  <c:v>7.3103610028979957E-2</c:v>
                </c:pt>
                <c:pt idx="32">
                  <c:v>4.1522079383612846E-2</c:v>
                </c:pt>
                <c:pt idx="33">
                  <c:v>1.1519588407592204E-2</c:v>
                </c:pt>
                <c:pt idx="34">
                  <c:v>3.635060204794166E-2</c:v>
                </c:pt>
                <c:pt idx="35">
                  <c:v>3.3341704788083126E-2</c:v>
                </c:pt>
                <c:pt idx="36">
                  <c:v>4.540282398809535E-2</c:v>
                </c:pt>
                <c:pt idx="37">
                  <c:v>5.0524379856523548E-2</c:v>
                </c:pt>
                <c:pt idx="38">
                  <c:v>5.5788782135039523E-2</c:v>
                </c:pt>
                <c:pt idx="39">
                  <c:v>5.5140909241008854E-2</c:v>
                </c:pt>
                <c:pt idx="40">
                  <c:v>6.5654177702554856E-2</c:v>
                </c:pt>
                <c:pt idx="41">
                  <c:v>6.6431046276713493E-2</c:v>
                </c:pt>
                <c:pt idx="42">
                  <c:v>7.8066499562189667E-2</c:v>
                </c:pt>
                <c:pt idx="43">
                  <c:v>6.9995476012649729E-2</c:v>
                </c:pt>
                <c:pt idx="44">
                  <c:v>6.5114751503902224E-2</c:v>
                </c:pt>
                <c:pt idx="45">
                  <c:v>6.4783691644806324E-2</c:v>
                </c:pt>
                <c:pt idx="46">
                  <c:v>8.1669531461691688E-2</c:v>
                </c:pt>
                <c:pt idx="47">
                  <c:v>6.6293203069569928E-2</c:v>
                </c:pt>
                <c:pt idx="48">
                  <c:v>7.2690679557435744E-2</c:v>
                </c:pt>
                <c:pt idx="49">
                  <c:v>9.2455390953535929E-2</c:v>
                </c:pt>
                <c:pt idx="50">
                  <c:v>4.2810170869488913E-2</c:v>
                </c:pt>
                <c:pt idx="51">
                  <c:v>7.8348415570090868E-2</c:v>
                </c:pt>
                <c:pt idx="52">
                  <c:v>5.8725309068821015E-2</c:v>
                </c:pt>
                <c:pt idx="53">
                  <c:v>4.2347773488593803E-2</c:v>
                </c:pt>
                <c:pt idx="54">
                  <c:v>5.9897601945041741E-2</c:v>
                </c:pt>
                <c:pt idx="55">
                  <c:v>5.5353480662348638E-2</c:v>
                </c:pt>
                <c:pt idx="56">
                  <c:v>6.2972031162115624E-2</c:v>
                </c:pt>
              </c:numCache>
            </c:numRef>
          </c:val>
          <c:smooth val="0"/>
          <c:extLst>
            <c:ext xmlns:c16="http://schemas.microsoft.com/office/drawing/2014/chart" uri="{C3380CC4-5D6E-409C-BE32-E72D297353CC}">
              <c16:uniqueId val="{00000001-3E4E-465D-B442-443680724201}"/>
            </c:ext>
          </c:extLst>
        </c:ser>
        <c:ser>
          <c:idx val="2"/>
          <c:order val="2"/>
          <c:tx>
            <c:v>Earnings accrual rate smoothed</c:v>
          </c:tx>
          <c:spPr>
            <a:ln w="28575" cap="rnd">
              <a:solidFill>
                <a:schemeClr val="accent3"/>
              </a:solidFill>
              <a:round/>
            </a:ln>
            <a:effectLst/>
          </c:spPr>
          <c:marker>
            <c:symbol val="none"/>
          </c:marker>
          <c:val>
            <c:numRef>
              <c:f>'UI Earnings metrics'!$AM$5:$AM$62</c:f>
              <c:numCache>
                <c:formatCode>0.00%</c:formatCode>
                <c:ptCount val="58"/>
                <c:pt idx="0">
                  <c:v>2.7935980986798246E-2</c:v>
                </c:pt>
                <c:pt idx="1">
                  <c:v>2.7321332028070671E-2</c:v>
                </c:pt>
                <c:pt idx="2">
                  <c:v>2.6028517688339279E-2</c:v>
                </c:pt>
                <c:pt idx="3">
                  <c:v>2.5131317401188197E-2</c:v>
                </c:pt>
                <c:pt idx="4">
                  <c:v>2.5073450896443021E-2</c:v>
                </c:pt>
                <c:pt idx="5">
                  <c:v>2.526621524967626E-2</c:v>
                </c:pt>
                <c:pt idx="6">
                  <c:v>2.4894261043632203E-2</c:v>
                </c:pt>
                <c:pt idx="7">
                  <c:v>2.4605649000214853E-2</c:v>
                </c:pt>
                <c:pt idx="8">
                  <c:v>2.4872548547063E-2</c:v>
                </c:pt>
                <c:pt idx="9">
                  <c:v>2.5508347350840448E-2</c:v>
                </c:pt>
                <c:pt idx="10">
                  <c:v>2.9416392296570504E-2</c:v>
                </c:pt>
                <c:pt idx="11">
                  <c:v>3.1634480623426525E-2</c:v>
                </c:pt>
                <c:pt idx="12">
                  <c:v>3.1380563081846342E-2</c:v>
                </c:pt>
                <c:pt idx="13">
                  <c:v>3.2420959616521736E-2</c:v>
                </c:pt>
                <c:pt idx="14">
                  <c:v>2.9270430790468437E-2</c:v>
                </c:pt>
                <c:pt idx="15">
                  <c:v>2.8023427280014297E-2</c:v>
                </c:pt>
                <c:pt idx="16">
                  <c:v>2.8809843491421325E-2</c:v>
                </c:pt>
                <c:pt idx="17">
                  <c:v>2.8015437217071497E-2</c:v>
                </c:pt>
                <c:pt idx="18">
                  <c:v>3.0793466329515143E-2</c:v>
                </c:pt>
                <c:pt idx="19">
                  <c:v>3.0320932937963663E-2</c:v>
                </c:pt>
                <c:pt idx="20">
                  <c:v>2.8497582798484883E-2</c:v>
                </c:pt>
                <c:pt idx="21">
                  <c:v>2.6849788118046954E-2</c:v>
                </c:pt>
                <c:pt idx="22">
                  <c:v>2.6889792933205734E-2</c:v>
                </c:pt>
                <c:pt idx="23">
                  <c:v>2.7774206585102677E-2</c:v>
                </c:pt>
                <c:pt idx="24">
                  <c:v>2.9636354682179931E-2</c:v>
                </c:pt>
                <c:pt idx="25">
                  <c:v>3.1011746714973747E-2</c:v>
                </c:pt>
                <c:pt idx="26">
                  <c:v>4.1461829818294209E-2</c:v>
                </c:pt>
                <c:pt idx="27">
                  <c:v>4.2388381664184904E-2</c:v>
                </c:pt>
                <c:pt idx="28">
                  <c:v>4.3572559869400597E-2</c:v>
                </c:pt>
                <c:pt idx="29">
                  <c:v>4.1513456576193056E-2</c:v>
                </c:pt>
                <c:pt idx="30">
                  <c:v>2.7247326572745707E-2</c:v>
                </c:pt>
                <c:pt idx="31">
                  <c:v>2.915573589912087E-2</c:v>
                </c:pt>
                <c:pt idx="32">
                  <c:v>2.6362856778048206E-2</c:v>
                </c:pt>
                <c:pt idx="33">
                  <c:v>2.6611539846711749E-2</c:v>
                </c:pt>
                <c:pt idx="34">
                  <c:v>2.6261827863398562E-2</c:v>
                </c:pt>
                <c:pt idx="35">
                  <c:v>2.3670774353391072E-2</c:v>
                </c:pt>
                <c:pt idx="36">
                  <c:v>2.360851142290521E-2</c:v>
                </c:pt>
                <c:pt idx="37">
                  <c:v>2.3306122624094917E-2</c:v>
                </c:pt>
                <c:pt idx="38">
                  <c:v>2.2922259238836028E-2</c:v>
                </c:pt>
                <c:pt idx="39">
                  <c:v>2.0829863698380375E-2</c:v>
                </c:pt>
                <c:pt idx="40">
                  <c:v>2.0769057280229403E-2</c:v>
                </c:pt>
                <c:pt idx="41">
                  <c:v>2.1302618057977025E-2</c:v>
                </c:pt>
                <c:pt idx="42">
                  <c:v>2.1725224669763985E-2</c:v>
                </c:pt>
                <c:pt idx="43">
                  <c:v>2.2042656385127552E-2</c:v>
                </c:pt>
                <c:pt idx="44">
                  <c:v>2.2097837701539121E-2</c:v>
                </c:pt>
                <c:pt idx="45">
                  <c:v>2.1822236537021377E-2</c:v>
                </c:pt>
                <c:pt idx="46">
                  <c:v>2.1579742882382111E-2</c:v>
                </c:pt>
                <c:pt idx="47">
                  <c:v>2.1107929939128928E-2</c:v>
                </c:pt>
                <c:pt idx="48">
                  <c:v>2.0998692396055469E-2</c:v>
                </c:pt>
                <c:pt idx="49">
                  <c:v>2.0752593751931669E-2</c:v>
                </c:pt>
                <c:pt idx="50">
                  <c:v>2.0962991133178444E-2</c:v>
                </c:pt>
                <c:pt idx="51">
                  <c:v>2.0423923048249325E-2</c:v>
                </c:pt>
                <c:pt idx="52">
                  <c:v>2.099782767173369E-2</c:v>
                </c:pt>
                <c:pt idx="53">
                  <c:v>2.1698549825052572E-2</c:v>
                </c:pt>
                <c:pt idx="54">
                  <c:v>2.1373559285829187E-2</c:v>
                </c:pt>
                <c:pt idx="55">
                  <c:v>2.2113276626000645E-2</c:v>
                </c:pt>
                <c:pt idx="56">
                  <c:v>2.1261373074795583E-2</c:v>
                </c:pt>
                <c:pt idx="57">
                  <c:v>2.0901436383651509E-2</c:v>
                </c:pt>
              </c:numCache>
            </c:numRef>
          </c:val>
          <c:smooth val="0"/>
          <c:extLst>
            <c:ext xmlns:c16="http://schemas.microsoft.com/office/drawing/2014/chart" uri="{C3380CC4-5D6E-409C-BE32-E72D297353CC}">
              <c16:uniqueId val="{00000002-3E4E-465D-B442-443680724201}"/>
            </c:ext>
          </c:extLst>
        </c:ser>
        <c:ser>
          <c:idx val="3"/>
          <c:order val="3"/>
          <c:tx>
            <c:v>Wage growth, real, not smoothed</c:v>
          </c:tx>
          <c:spPr>
            <a:ln w="28575" cap="rnd">
              <a:solidFill>
                <a:schemeClr val="accent4"/>
              </a:solidFill>
              <a:round/>
            </a:ln>
            <a:effectLst/>
          </c:spPr>
          <c:marker>
            <c:symbol val="none"/>
          </c:marker>
          <c:val>
            <c:numRef>
              <c:f>'UI Earnings metrics'!$E$6:$E$62</c:f>
              <c:numCache>
                <c:formatCode>0.0000000</c:formatCode>
                <c:ptCount val="57"/>
                <c:pt idx="0">
                  <c:v>0.11315986467915073</c:v>
                </c:pt>
                <c:pt idx="1">
                  <c:v>7.257078310269631E-2</c:v>
                </c:pt>
                <c:pt idx="2">
                  <c:v>0.16347156255196171</c:v>
                </c:pt>
                <c:pt idx="3">
                  <c:v>-0.15706907785379981</c:v>
                </c:pt>
                <c:pt idx="4">
                  <c:v>0.12519983981431923</c:v>
                </c:pt>
                <c:pt idx="5">
                  <c:v>0.14200469973427582</c:v>
                </c:pt>
                <c:pt idx="6">
                  <c:v>-6.4193848266129103E-3</c:v>
                </c:pt>
                <c:pt idx="7">
                  <c:v>-2.5593620202022108E-2</c:v>
                </c:pt>
                <c:pt idx="8">
                  <c:v>6.7201889724486402E-2</c:v>
                </c:pt>
                <c:pt idx="9">
                  <c:v>1.0594402065405142E-2</c:v>
                </c:pt>
                <c:pt idx="10">
                  <c:v>9.1082020074599979E-2</c:v>
                </c:pt>
                <c:pt idx="11">
                  <c:v>-1.8888105697292226E-2</c:v>
                </c:pt>
                <c:pt idx="12">
                  <c:v>6.4597343315506428E-2</c:v>
                </c:pt>
                <c:pt idx="13">
                  <c:v>3.138315203709581E-2</c:v>
                </c:pt>
                <c:pt idx="14">
                  <c:v>0.14596769089417583</c:v>
                </c:pt>
                <c:pt idx="15">
                  <c:v>-5.2635815485994032E-2</c:v>
                </c:pt>
                <c:pt idx="16">
                  <c:v>4.6561046973085815E-2</c:v>
                </c:pt>
                <c:pt idx="17">
                  <c:v>3.543830113970891E-2</c:v>
                </c:pt>
                <c:pt idx="18">
                  <c:v>7.9931928496983745E-2</c:v>
                </c:pt>
                <c:pt idx="19">
                  <c:v>-0.12130514260304254</c:v>
                </c:pt>
                <c:pt idx="20">
                  <c:v>3.4642907186957665E-2</c:v>
                </c:pt>
                <c:pt idx="21">
                  <c:v>1.7401978499659174E-2</c:v>
                </c:pt>
                <c:pt idx="22">
                  <c:v>0.308482010918955</c:v>
                </c:pt>
                <c:pt idx="23">
                  <c:v>-0.12136681540154805</c:v>
                </c:pt>
                <c:pt idx="24">
                  <c:v>0.14243371577362957</c:v>
                </c:pt>
                <c:pt idx="25">
                  <c:v>6.3797866558004929E-2</c:v>
                </c:pt>
                <c:pt idx="26">
                  <c:v>0.13708786587414001</c:v>
                </c:pt>
                <c:pt idx="27">
                  <c:v>-0.14996053730820941</c:v>
                </c:pt>
                <c:pt idx="28">
                  <c:v>0.15440157896467499</c:v>
                </c:pt>
                <c:pt idx="29">
                  <c:v>0.15345733129782002</c:v>
                </c:pt>
                <c:pt idx="30">
                  <c:v>-2.0201612008515155E-3</c:v>
                </c:pt>
                <c:pt idx="31">
                  <c:v>-1.3424308945723686E-2</c:v>
                </c:pt>
                <c:pt idx="32">
                  <c:v>2.8075456383206583E-2</c:v>
                </c:pt>
                <c:pt idx="33">
                  <c:v>3.344736739373743E-2</c:v>
                </c:pt>
                <c:pt idx="34">
                  <c:v>9.7303893360546317E-2</c:v>
                </c:pt>
                <c:pt idx="35">
                  <c:v>-2.5459897985157836E-2</c:v>
                </c:pt>
                <c:pt idx="36">
                  <c:v>7.6319933183255501E-2</c:v>
                </c:pt>
                <c:pt idx="37">
                  <c:v>5.3933590867450233E-2</c:v>
                </c:pt>
                <c:pt idx="38">
                  <c:v>0.11836150247461019</c:v>
                </c:pt>
                <c:pt idx="39">
                  <c:v>-2.8051389561280494E-2</c:v>
                </c:pt>
                <c:pt idx="40">
                  <c:v>0.11837300702943949</c:v>
                </c:pt>
                <c:pt idx="41">
                  <c:v>5.7041065164084775E-2</c:v>
                </c:pt>
                <c:pt idx="42">
                  <c:v>0.16490331561651489</c:v>
                </c:pt>
                <c:pt idx="43">
                  <c:v>-6.0335483759440249E-2</c:v>
                </c:pt>
                <c:pt idx="44">
                  <c:v>9.8850108994449473E-2</c:v>
                </c:pt>
                <c:pt idx="45">
                  <c:v>5.5716825727701216E-2</c:v>
                </c:pt>
                <c:pt idx="46">
                  <c:v>0.23244667488405632</c:v>
                </c:pt>
                <c:pt idx="47">
                  <c:v>-0.1218407973279273</c:v>
                </c:pt>
                <c:pt idx="48">
                  <c:v>0.1244400149459127</c:v>
                </c:pt>
                <c:pt idx="49">
                  <c:v>0.134775671312102</c:v>
                </c:pt>
                <c:pt idx="50">
                  <c:v>3.3865794547868262E-2</c:v>
                </c:pt>
                <c:pt idx="51">
                  <c:v>2.0312181474480519E-2</c:v>
                </c:pt>
                <c:pt idx="52">
                  <c:v>4.5947588940833284E-2</c:v>
                </c:pt>
                <c:pt idx="53">
                  <c:v>6.9265528991193148E-2</c:v>
                </c:pt>
                <c:pt idx="54">
                  <c:v>0.10406510837366001</c:v>
                </c:pt>
                <c:pt idx="55">
                  <c:v>2.1356963437081135E-3</c:v>
                </c:pt>
                <c:pt idx="56">
                  <c:v>7.6421790939901244E-2</c:v>
                </c:pt>
              </c:numCache>
            </c:numRef>
          </c:val>
          <c:smooth val="0"/>
          <c:extLst>
            <c:ext xmlns:c16="http://schemas.microsoft.com/office/drawing/2014/chart" uri="{C3380CC4-5D6E-409C-BE32-E72D297353CC}">
              <c16:uniqueId val="{00000003-3E4E-465D-B442-443680724201}"/>
            </c:ext>
          </c:extLst>
        </c:ser>
        <c:dLbls>
          <c:showLegendKey val="0"/>
          <c:showVal val="0"/>
          <c:showCatName val="0"/>
          <c:showSerName val="0"/>
          <c:showPercent val="0"/>
          <c:showBubbleSize val="0"/>
        </c:dLbls>
        <c:smooth val="0"/>
        <c:axId val="311987071"/>
        <c:axId val="311987487"/>
      </c:lineChart>
      <c:catAx>
        <c:axId val="311987071"/>
        <c:scaling>
          <c:orientation val="minMax"/>
        </c:scaling>
        <c:delete val="0"/>
        <c:axPos val="b"/>
        <c:numFmt formatCode="0.00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87487"/>
        <c:crosses val="autoZero"/>
        <c:auto val="1"/>
        <c:lblAlgn val="ctr"/>
        <c:lblOffset val="100"/>
        <c:noMultiLvlLbl val="0"/>
      </c:catAx>
      <c:valAx>
        <c:axId val="311987487"/>
        <c:scaling>
          <c:orientation val="minMax"/>
        </c:scaling>
        <c:delete val="0"/>
        <c:axPos val="l"/>
        <c:majorGridlines>
          <c:spPr>
            <a:ln w="9525" cap="flat" cmpd="sng" algn="ctr">
              <a:solidFill>
                <a:schemeClr val="tx1">
                  <a:lumMod val="15000"/>
                  <a:lumOff val="85000"/>
                </a:schemeClr>
              </a:solidFill>
              <a:round/>
            </a:ln>
            <a:effectLst/>
          </c:spPr>
        </c:majorGridlines>
        <c:numFmt formatCode="0.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87071"/>
        <c:crosses val="autoZero"/>
        <c:crossBetween val="between"/>
      </c:valAx>
      <c:spPr>
        <a:noFill/>
        <a:ln>
          <a:noFill/>
        </a:ln>
        <a:effectLst/>
      </c:spPr>
    </c:plotArea>
    <c:legend>
      <c:legendPos val="tr"/>
      <c:layout>
        <c:manualLayout>
          <c:xMode val="edge"/>
          <c:yMode val="edge"/>
          <c:x val="0.65897284474056117"/>
          <c:y val="3.9764069796018695E-2"/>
          <c:w val="0.32820664243892589"/>
          <c:h val="0.262966195335192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60149842628679"/>
          <c:y val="0.16245370370370371"/>
          <c:w val="0.80881524582961073"/>
          <c:h val="0.61345727617381163"/>
        </c:manualLayout>
      </c:layout>
      <c:lineChart>
        <c:grouping val="standard"/>
        <c:varyColors val="0"/>
        <c:ser>
          <c:idx val="0"/>
          <c:order val="0"/>
          <c:tx>
            <c:v>Total wages and salary</c:v>
          </c:tx>
          <c:spPr>
            <a:ln w="28575" cap="rnd">
              <a:solidFill>
                <a:schemeClr val="accent1"/>
              </a:solidFill>
              <a:round/>
            </a:ln>
            <a:effectLst/>
          </c:spPr>
          <c:marker>
            <c:symbol val="none"/>
          </c:marker>
          <c:cat>
            <c:numRef>
              <c:f>'UI Earnings metrics'!$A$5:$A$62</c:f>
              <c:numCache>
                <c:formatCode>0.000</c:formatCode>
                <c:ptCount val="58"/>
                <c:pt idx="0">
                  <c:v>2004.125</c:v>
                </c:pt>
                <c:pt idx="1">
                  <c:v>2004.375</c:v>
                </c:pt>
                <c:pt idx="2">
                  <c:v>2004.625</c:v>
                </c:pt>
                <c:pt idx="3">
                  <c:v>2004.875</c:v>
                </c:pt>
                <c:pt idx="4">
                  <c:v>2005.125</c:v>
                </c:pt>
                <c:pt idx="5">
                  <c:v>2005.375</c:v>
                </c:pt>
                <c:pt idx="6">
                  <c:v>2005.625</c:v>
                </c:pt>
                <c:pt idx="7">
                  <c:v>2005.875</c:v>
                </c:pt>
                <c:pt idx="8">
                  <c:v>2006.125</c:v>
                </c:pt>
                <c:pt idx="9">
                  <c:v>2006.375</c:v>
                </c:pt>
                <c:pt idx="10">
                  <c:v>2006.625</c:v>
                </c:pt>
                <c:pt idx="11">
                  <c:v>2006.875</c:v>
                </c:pt>
                <c:pt idx="12">
                  <c:v>2007.125</c:v>
                </c:pt>
                <c:pt idx="13">
                  <c:v>2007.375</c:v>
                </c:pt>
                <c:pt idx="14">
                  <c:v>2007.625</c:v>
                </c:pt>
                <c:pt idx="15">
                  <c:v>2007.875</c:v>
                </c:pt>
                <c:pt idx="16">
                  <c:v>2008.125</c:v>
                </c:pt>
                <c:pt idx="17">
                  <c:v>2008.375</c:v>
                </c:pt>
                <c:pt idx="18">
                  <c:v>2008.625</c:v>
                </c:pt>
                <c:pt idx="19">
                  <c:v>2008.875</c:v>
                </c:pt>
                <c:pt idx="20">
                  <c:v>2009.125</c:v>
                </c:pt>
                <c:pt idx="21">
                  <c:v>2009.375</c:v>
                </c:pt>
                <c:pt idx="22">
                  <c:v>2009.625</c:v>
                </c:pt>
                <c:pt idx="23">
                  <c:v>2009.875</c:v>
                </c:pt>
                <c:pt idx="24">
                  <c:v>2010.125</c:v>
                </c:pt>
                <c:pt idx="25">
                  <c:v>2010.375</c:v>
                </c:pt>
                <c:pt idx="26">
                  <c:v>2010.625</c:v>
                </c:pt>
                <c:pt idx="27">
                  <c:v>2010.875</c:v>
                </c:pt>
                <c:pt idx="28">
                  <c:v>2011.125</c:v>
                </c:pt>
                <c:pt idx="29">
                  <c:v>2011.375</c:v>
                </c:pt>
                <c:pt idx="30">
                  <c:v>2011.625</c:v>
                </c:pt>
                <c:pt idx="31">
                  <c:v>2011.875</c:v>
                </c:pt>
                <c:pt idx="32">
                  <c:v>2012.125</c:v>
                </c:pt>
                <c:pt idx="33">
                  <c:v>2012.375</c:v>
                </c:pt>
                <c:pt idx="34">
                  <c:v>2012.625</c:v>
                </c:pt>
                <c:pt idx="35">
                  <c:v>2012.875</c:v>
                </c:pt>
                <c:pt idx="36">
                  <c:v>2013.125</c:v>
                </c:pt>
                <c:pt idx="37">
                  <c:v>2013.375</c:v>
                </c:pt>
                <c:pt idx="38">
                  <c:v>2013.625</c:v>
                </c:pt>
                <c:pt idx="39">
                  <c:v>2013.875</c:v>
                </c:pt>
                <c:pt idx="40">
                  <c:v>2014.125</c:v>
                </c:pt>
                <c:pt idx="41">
                  <c:v>2014.375</c:v>
                </c:pt>
                <c:pt idx="42">
                  <c:v>2014.625</c:v>
                </c:pt>
                <c:pt idx="43">
                  <c:v>2014.875</c:v>
                </c:pt>
                <c:pt idx="44">
                  <c:v>2015.125</c:v>
                </c:pt>
                <c:pt idx="45">
                  <c:v>2015.375</c:v>
                </c:pt>
                <c:pt idx="46">
                  <c:v>2015.625</c:v>
                </c:pt>
                <c:pt idx="47">
                  <c:v>2015.875</c:v>
                </c:pt>
                <c:pt idx="48">
                  <c:v>2016.125</c:v>
                </c:pt>
                <c:pt idx="49">
                  <c:v>2016.375</c:v>
                </c:pt>
                <c:pt idx="50">
                  <c:v>2016.625</c:v>
                </c:pt>
                <c:pt idx="51">
                  <c:v>2016.875</c:v>
                </c:pt>
                <c:pt idx="52">
                  <c:v>2017.125</c:v>
                </c:pt>
                <c:pt idx="53">
                  <c:v>2017.375</c:v>
                </c:pt>
                <c:pt idx="54">
                  <c:v>2017.625</c:v>
                </c:pt>
                <c:pt idx="55">
                  <c:v>2017.875</c:v>
                </c:pt>
                <c:pt idx="56">
                  <c:v>2018.125</c:v>
                </c:pt>
                <c:pt idx="57">
                  <c:v>2018.375</c:v>
                </c:pt>
              </c:numCache>
            </c:numRef>
          </c:cat>
          <c:val>
            <c:numRef>
              <c:f>'UI Earnings metrics'!$AA$5:$AA$62</c:f>
              <c:numCache>
                <c:formatCode>"$"#,##0</c:formatCode>
                <c:ptCount val="58"/>
                <c:pt idx="0">
                  <c:v>243982.73500199773</c:v>
                </c:pt>
                <c:pt idx="1">
                  <c:v>244675.65278787448</c:v>
                </c:pt>
                <c:pt idx="2">
                  <c:v>245777.34005370355</c:v>
                </c:pt>
                <c:pt idx="3">
                  <c:v>247632.12698991899</c:v>
                </c:pt>
                <c:pt idx="4">
                  <c:v>247677.20374821103</c:v>
                </c:pt>
                <c:pt idx="5">
                  <c:v>248006.70017705249</c:v>
                </c:pt>
                <c:pt idx="6">
                  <c:v>249851.87323709996</c:v>
                </c:pt>
                <c:pt idx="7">
                  <c:v>247350.80070720456</c:v>
                </c:pt>
                <c:pt idx="8">
                  <c:v>249536.54847300772</c:v>
                </c:pt>
                <c:pt idx="9">
                  <c:v>249098.36031874866</c:v>
                </c:pt>
                <c:pt idx="10">
                  <c:v>246559.04147955467</c:v>
                </c:pt>
                <c:pt idx="11">
                  <c:v>245964.22113362106</c:v>
                </c:pt>
                <c:pt idx="12">
                  <c:v>245612.12277711037</c:v>
                </c:pt>
                <c:pt idx="13">
                  <c:v>245360.47597073182</c:v>
                </c:pt>
                <c:pt idx="14">
                  <c:v>245059.09385269793</c:v>
                </c:pt>
                <c:pt idx="15">
                  <c:v>245524.11468415454</c:v>
                </c:pt>
                <c:pt idx="16">
                  <c:v>245028.15045869563</c:v>
                </c:pt>
                <c:pt idx="17">
                  <c:v>243766.24005892003</c:v>
                </c:pt>
                <c:pt idx="18">
                  <c:v>243284.37221369948</c:v>
                </c:pt>
                <c:pt idx="19">
                  <c:v>241167.78919612471</c:v>
                </c:pt>
                <c:pt idx="20">
                  <c:v>237697.0406233432</c:v>
                </c:pt>
                <c:pt idx="21">
                  <c:v>232836.62855018643</c:v>
                </c:pt>
                <c:pt idx="22">
                  <c:v>226990.48245786966</c:v>
                </c:pt>
                <c:pt idx="23">
                  <c:v>226244.87181082461</c:v>
                </c:pt>
                <c:pt idx="24">
                  <c:v>224035.42014199699</c:v>
                </c:pt>
                <c:pt idx="25">
                  <c:v>224048.74419583721</c:v>
                </c:pt>
                <c:pt idx="26">
                  <c:v>227112.11438513058</c:v>
                </c:pt>
                <c:pt idx="27">
                  <c:v>229129.77623247131</c:v>
                </c:pt>
                <c:pt idx="28">
                  <c:v>232010.57648594159</c:v>
                </c:pt>
                <c:pt idx="29">
                  <c:v>235515.28424104545</c:v>
                </c:pt>
                <c:pt idx="30">
                  <c:v>237970.47090579208</c:v>
                </c:pt>
                <c:pt idx="31">
                  <c:v>237444.41933710926</c:v>
                </c:pt>
                <c:pt idx="32">
                  <c:v>240403.24639374099</c:v>
                </c:pt>
                <c:pt idx="33">
                  <c:v>241288.84558174349</c:v>
                </c:pt>
                <c:pt idx="34">
                  <c:v>239910.5131467763</c:v>
                </c:pt>
                <c:pt idx="35">
                  <c:v>240943.21354400387</c:v>
                </c:pt>
                <c:pt idx="36">
                  <c:v>240945.42039941472</c:v>
                </c:pt>
                <c:pt idx="37">
                  <c:v>241103.21473546023</c:v>
                </c:pt>
                <c:pt idx="38">
                  <c:v>242168.93657938688</c:v>
                </c:pt>
                <c:pt idx="39">
                  <c:v>241941.66653669937</c:v>
                </c:pt>
                <c:pt idx="40">
                  <c:v>243116.99138702347</c:v>
                </c:pt>
                <c:pt idx="41">
                  <c:v>244298.21563918982</c:v>
                </c:pt>
                <c:pt idx="42">
                  <c:v>245854.85889910738</c:v>
                </c:pt>
                <c:pt idx="43">
                  <c:v>248832.3793846007</c:v>
                </c:pt>
                <c:pt idx="44">
                  <c:v>249499.41753698606</c:v>
                </c:pt>
                <c:pt idx="45">
                  <c:v>250653.59857071485</c:v>
                </c:pt>
                <c:pt idx="46">
                  <c:v>251586.93850505896</c:v>
                </c:pt>
                <c:pt idx="47">
                  <c:v>254497.71204615696</c:v>
                </c:pt>
                <c:pt idx="48">
                  <c:v>255703.65613298627</c:v>
                </c:pt>
                <c:pt idx="49">
                  <c:v>257637.3141955951</c:v>
                </c:pt>
                <c:pt idx="50">
                  <c:v>261768.03424552237</c:v>
                </c:pt>
                <c:pt idx="51">
                  <c:v>259931.76665760792</c:v>
                </c:pt>
                <c:pt idx="52">
                  <c:v>263744.48218774697</c:v>
                </c:pt>
                <c:pt idx="53">
                  <c:v>265389.91225176206</c:v>
                </c:pt>
                <c:pt idx="54">
                  <c:v>264748.30631931633</c:v>
                </c:pt>
                <c:pt idx="55">
                  <c:v>266548.52416337357</c:v>
                </c:pt>
                <c:pt idx="56">
                  <c:v>267649.21809444169</c:v>
                </c:pt>
                <c:pt idx="57">
                  <c:v>268579.44478374242</c:v>
                </c:pt>
              </c:numCache>
            </c:numRef>
          </c:val>
          <c:smooth val="0"/>
          <c:extLst>
            <c:ext xmlns:c16="http://schemas.microsoft.com/office/drawing/2014/chart" uri="{C3380CC4-5D6E-409C-BE32-E72D297353CC}">
              <c16:uniqueId val="{00000000-C238-486B-87C4-1AD5E23B2829}"/>
            </c:ext>
          </c:extLst>
        </c:ser>
        <c:dLbls>
          <c:showLegendKey val="0"/>
          <c:showVal val="0"/>
          <c:showCatName val="0"/>
          <c:showSerName val="0"/>
          <c:showPercent val="0"/>
          <c:showBubbleSize val="0"/>
        </c:dLbls>
        <c:smooth val="0"/>
        <c:axId val="460691840"/>
        <c:axId val="460693504"/>
      </c:lineChart>
      <c:catAx>
        <c:axId val="460691840"/>
        <c:scaling>
          <c:orientation val="minMax"/>
        </c:scaling>
        <c:delete val="0"/>
        <c:axPos val="b"/>
        <c:numFmt formatCode="0.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693504"/>
        <c:crosses val="autoZero"/>
        <c:auto val="1"/>
        <c:lblAlgn val="ctr"/>
        <c:lblOffset val="100"/>
        <c:noMultiLvlLbl val="0"/>
      </c:catAx>
      <c:valAx>
        <c:axId val="460693504"/>
        <c:scaling>
          <c:orientation val="minMax"/>
          <c:max val="269000"/>
          <c:min val="22400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691840"/>
        <c:crosses val="autoZero"/>
        <c:crossBetween val="between"/>
      </c:valAx>
      <c:spPr>
        <a:noFill/>
        <a:ln>
          <a:noFill/>
        </a:ln>
        <a:effectLst/>
      </c:spPr>
    </c:plotArea>
    <c:plotVisOnly val="0"/>
    <c:dispBlanksAs val="zero"/>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EC8A-25DA-4A6B-9CE9-62C06817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18639</Words>
  <Characters>106245</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Evaluation of Ohio’s Wage Pathways Program</dc:title>
  <dc:subject/>
  <dc:creator>Randy Olsen</dc:creator>
  <cp:keywords/>
  <dc:description/>
  <cp:lastModifiedBy>Rusnak, Laura</cp:lastModifiedBy>
  <cp:revision>4</cp:revision>
  <cp:lastPrinted>2019-09-27T15:41:00Z</cp:lastPrinted>
  <dcterms:created xsi:type="dcterms:W3CDTF">2019-10-28T17:35:00Z</dcterms:created>
  <dcterms:modified xsi:type="dcterms:W3CDTF">2024-04-18T12:57:00Z</dcterms:modified>
</cp:coreProperties>
</file>